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FAC7" w14:textId="14F8F067" w:rsidR="00996055" w:rsidRPr="00FE060A" w:rsidRDefault="00996055" w:rsidP="00996055">
      <w:pPr>
        <w:pStyle w:val="Titre2"/>
        <w:tabs>
          <w:tab w:val="left" w:pos="224"/>
        </w:tabs>
        <w:spacing w:before="95"/>
        <w:ind w:firstLine="0"/>
        <w:jc w:val="center"/>
        <w:rPr>
          <w:w w:val="90"/>
          <w:sz w:val="32"/>
          <w:szCs w:val="32"/>
        </w:rPr>
      </w:pPr>
      <w:r w:rsidRPr="00FE060A">
        <w:rPr>
          <w:w w:val="90"/>
          <w:sz w:val="32"/>
          <w:szCs w:val="32"/>
        </w:rPr>
        <w:t xml:space="preserve">CONDITIONS GENERALES DE VENTE </w:t>
      </w:r>
      <w:r w:rsidR="00886132">
        <w:rPr>
          <w:w w:val="90"/>
          <w:sz w:val="32"/>
          <w:szCs w:val="32"/>
        </w:rPr>
        <w:t>202</w:t>
      </w:r>
      <w:r w:rsidR="005E1E63">
        <w:rPr>
          <w:w w:val="90"/>
          <w:sz w:val="32"/>
          <w:szCs w:val="32"/>
        </w:rPr>
        <w:t>5</w:t>
      </w:r>
    </w:p>
    <w:p w14:paraId="461427DA" w14:textId="46B25360" w:rsidR="00886132" w:rsidRDefault="00C24F89" w:rsidP="00996055">
      <w:pPr>
        <w:pStyle w:val="Titre2"/>
        <w:tabs>
          <w:tab w:val="left" w:pos="224"/>
        </w:tabs>
        <w:spacing w:before="95"/>
        <w:ind w:firstLine="0"/>
        <w:jc w:val="center"/>
        <w:rPr>
          <w:sz w:val="32"/>
          <w:szCs w:val="32"/>
        </w:rPr>
      </w:pPr>
      <w:r>
        <w:rPr>
          <w:sz w:val="32"/>
          <w:szCs w:val="32"/>
        </w:rPr>
        <w:t>G</w:t>
      </w:r>
      <w:r w:rsidR="00C40A5C">
        <w:rPr>
          <w:sz w:val="32"/>
          <w:szCs w:val="32"/>
        </w:rPr>
        <w:t>rossistes Répartiteurs</w:t>
      </w:r>
      <w:r w:rsidR="00136C03">
        <w:rPr>
          <w:sz w:val="32"/>
          <w:szCs w:val="32"/>
        </w:rPr>
        <w:t xml:space="preserve"> DROM COM</w:t>
      </w:r>
    </w:p>
    <w:p w14:paraId="63837978" w14:textId="7C1C4D11" w:rsidR="00136C03" w:rsidRDefault="00136C03" w:rsidP="006A42DC">
      <w:pPr>
        <w:pStyle w:val="Titre2"/>
        <w:spacing w:before="95"/>
        <w:ind w:left="142" w:firstLine="0"/>
        <w:jc w:val="center"/>
      </w:pPr>
    </w:p>
    <w:p w14:paraId="64C5768A" w14:textId="77777777" w:rsidR="006A42DC" w:rsidRPr="006838C7" w:rsidRDefault="006A42DC" w:rsidP="006838C7">
      <w:pPr>
        <w:pStyle w:val="Titre2"/>
        <w:spacing w:before="95"/>
        <w:ind w:left="142" w:firstLine="0"/>
        <w:jc w:val="center"/>
      </w:pPr>
    </w:p>
    <w:p w14:paraId="163068A0" w14:textId="77777777" w:rsidR="00136C03" w:rsidRDefault="00136C03" w:rsidP="006838C7">
      <w:pPr>
        <w:pStyle w:val="Titre2"/>
        <w:numPr>
          <w:ilvl w:val="0"/>
          <w:numId w:val="1"/>
        </w:numPr>
        <w:spacing w:before="95"/>
        <w:ind w:left="142" w:hanging="117"/>
      </w:pPr>
      <w:r>
        <w:rPr>
          <w:color w:val="FF3333"/>
        </w:rPr>
        <w:t>– OBJET</w:t>
      </w:r>
    </w:p>
    <w:p w14:paraId="5A2A73CD" w14:textId="74C40E15" w:rsidR="00136C03" w:rsidRDefault="00136C03" w:rsidP="006838C7">
      <w:pPr>
        <w:pStyle w:val="Corpsdetexte"/>
        <w:spacing w:before="3"/>
        <w:ind w:left="142" w:right="38"/>
        <w:jc w:val="both"/>
      </w:pPr>
      <w:r>
        <w:t>Les présentes CONDITIONS GENERALES DE VENTE (« </w:t>
      </w:r>
      <w:r w:rsidRPr="0059005F">
        <w:rPr>
          <w:b/>
          <w:bCs/>
        </w:rPr>
        <w:t>CGV</w:t>
      </w:r>
      <w:r>
        <w:t xml:space="preserve"> ») s’appliquent à toutes les ventes de produits </w:t>
      </w:r>
      <w:r w:rsidRPr="002B080C">
        <w:t xml:space="preserve">(les </w:t>
      </w:r>
      <w:r>
        <w:t>« </w:t>
      </w:r>
      <w:r w:rsidRPr="002432E6">
        <w:rPr>
          <w:b/>
          <w:bCs/>
        </w:rPr>
        <w:t>Produits</w:t>
      </w:r>
      <w:r>
        <w:t> »</w:t>
      </w:r>
      <w:r w:rsidRPr="002B080C">
        <w:t>)</w:t>
      </w:r>
      <w:r>
        <w:t xml:space="preserve"> de la société Mölnlycke Healthcare France SAS (« </w:t>
      </w:r>
      <w:r w:rsidRPr="002432E6">
        <w:rPr>
          <w:b/>
          <w:bCs/>
        </w:rPr>
        <w:t>Mölnlycke</w:t>
      </w:r>
      <w:r>
        <w:t> »), aux clients opérant dans les départements et territoires d’Outre-Mer (Guadeloupe, Guyane, Martinique, Réunion, Mayotte, Saint-Barthélemy, Saint-Martin, Saint-Pierre-et-Miquelon, îles Wallis et Futuna, Polynésie Française, ensemble les « </w:t>
      </w:r>
      <w:r w:rsidRPr="00C505E3">
        <w:rPr>
          <w:b/>
          <w:bCs/>
        </w:rPr>
        <w:t>DROM COM</w:t>
      </w:r>
      <w:r>
        <w:t> ») et ayant la qualité de grossiste-répartiteur au sens de l’article R.5124-2 du code de la Santé Publique (le « </w:t>
      </w:r>
      <w:r w:rsidRPr="002432E6">
        <w:rPr>
          <w:b/>
          <w:bCs/>
        </w:rPr>
        <w:t>Client</w:t>
      </w:r>
      <w:r>
        <w:t> »). Sauf accord écrit entre les parties, toute commande de Produits implique, l’acceptation sans réserve et l’adhésion pleine et entière du Client aux présentes CGV. Toute condition contraire opposée par le Client sera, à défaut d’acceptation expresse, inopposable à Mölnlycke, quel que soit le moment où elle aura pu être portée à sa connaissance. Le Client renonce expressément, en conséquence, à se prévaloir de toutes clauses figurant sur ses propres documents et qui seraient contraires, en tout ou en partie, aux présentes CGV. Toute dérogation aux présentes CGV doit être acceptée par écrit par Mölnlycke et formalisée par la conclusion de conditions particulières de vente dans une convention conclue conformément aux articles L. 441-3 et suivants du code de commerce. Le fait que Mölnlycke ne se prévale pas à un moment donné tout ou partie des présentes CGV ne peut être interprété comme valant renonciation à se prévaloir ultérieurement de l’une quelconque disposition desdites conditio–s.</w:t>
      </w:r>
    </w:p>
    <w:p w14:paraId="29A969B9" w14:textId="77777777" w:rsidR="00136C03" w:rsidRDefault="00136C03" w:rsidP="006838C7">
      <w:pPr>
        <w:pStyle w:val="Corpsdetexte"/>
        <w:spacing w:before="8"/>
        <w:ind w:left="142"/>
        <w:rPr>
          <w:sz w:val="13"/>
        </w:rPr>
      </w:pPr>
      <w:r>
        <w:rPr>
          <w:sz w:val="13"/>
        </w:rPr>
        <w:t xml:space="preserve"> </w:t>
      </w:r>
    </w:p>
    <w:p w14:paraId="6349A769" w14:textId="77777777" w:rsidR="00136C03" w:rsidRDefault="00136C03" w:rsidP="006838C7">
      <w:pPr>
        <w:pStyle w:val="Titre2"/>
        <w:numPr>
          <w:ilvl w:val="0"/>
          <w:numId w:val="1"/>
        </w:numPr>
        <w:ind w:left="142" w:hanging="117"/>
      </w:pPr>
      <w:r>
        <w:rPr>
          <w:color w:val="FF3333"/>
        </w:rPr>
        <w:t>-</w:t>
      </w:r>
      <w:r>
        <w:rPr>
          <w:color w:val="FF3333"/>
          <w:spacing w:val="-3"/>
        </w:rPr>
        <w:t xml:space="preserve"> </w:t>
      </w:r>
      <w:r>
        <w:rPr>
          <w:color w:val="FF3333"/>
        </w:rPr>
        <w:t>COMMANDES</w:t>
      </w:r>
    </w:p>
    <w:p w14:paraId="1BA852BE" w14:textId="77777777" w:rsidR="00136C03" w:rsidRDefault="00136C03" w:rsidP="006838C7">
      <w:pPr>
        <w:pStyle w:val="Corpsdetexte"/>
        <w:ind w:left="142" w:right="39"/>
        <w:jc w:val="both"/>
      </w:pPr>
      <w:r>
        <w:t>Les commandes sont transmises directement par le Client au Service Client de MÖLNLYCKE, par fax ou courrier ou e-mail. Sauf pour les commandes présentant des particularités exceptionnelles, MÖLNLYCKE n’émet pas d’accusé de réception. Les commandes sont irrévocables pour le Client. En conséquence, aucune modification ou annulation de commande ne pourra être effectuée sans l’accord express et écrit de Mölnlycke. En tout état de cause, les frais engendrés par la modification ou l’annulation d’une ou plusieurs commande(s) sont à la charge du Client qui s’y engage, sauf autrement convenu avec Mölnlycke.</w:t>
      </w:r>
    </w:p>
    <w:p w14:paraId="237B1692" w14:textId="77777777" w:rsidR="00136C03" w:rsidRDefault="00136C03" w:rsidP="006838C7">
      <w:pPr>
        <w:pStyle w:val="Corpsdetexte"/>
        <w:spacing w:before="10"/>
        <w:ind w:left="142"/>
        <w:rPr>
          <w:sz w:val="13"/>
        </w:rPr>
      </w:pPr>
    </w:p>
    <w:p w14:paraId="441DA6D2" w14:textId="77777777" w:rsidR="00136C03" w:rsidRDefault="00136C03" w:rsidP="006838C7">
      <w:pPr>
        <w:pStyle w:val="Titre2"/>
        <w:numPr>
          <w:ilvl w:val="0"/>
          <w:numId w:val="1"/>
        </w:numPr>
        <w:ind w:left="142" w:hanging="117"/>
      </w:pPr>
      <w:r>
        <w:rPr>
          <w:color w:val="FF3333"/>
        </w:rPr>
        <w:t>– LIVRAISONS</w:t>
      </w:r>
    </w:p>
    <w:p w14:paraId="4095A094" w14:textId="205D25A8" w:rsidR="00136C03" w:rsidRPr="002432E6" w:rsidRDefault="00136C03" w:rsidP="006838C7">
      <w:pPr>
        <w:pStyle w:val="Corpsdetexte"/>
        <w:spacing w:before="3"/>
        <w:ind w:left="142" w:right="38"/>
        <w:jc w:val="both"/>
      </w:pPr>
      <w:r>
        <w:t xml:space="preserve">Les livraisons sont effectuées soit directement par le </w:t>
      </w:r>
      <w:r w:rsidR="005E1E63">
        <w:t>dépositaire</w:t>
      </w:r>
      <w:r>
        <w:t xml:space="preserve"> de MÖLNLYCKE </w:t>
      </w:r>
      <w:r w:rsidR="005E1E63">
        <w:t>(le « </w:t>
      </w:r>
      <w:r w:rsidR="005E1E63" w:rsidRPr="00332954">
        <w:rPr>
          <w:b/>
          <w:bCs/>
        </w:rPr>
        <w:t>Dépositaire</w:t>
      </w:r>
      <w:r w:rsidR="005E1E63">
        <w:t xml:space="preserve"> ») </w:t>
      </w:r>
      <w:r>
        <w:t>au Client soit par son transitaire. Le cas échéant, les conditions générales de livraison du Dépositaire, telle</w:t>
      </w:r>
      <w:r w:rsidR="005E1E63">
        <w:t>s</w:t>
      </w:r>
      <w:r>
        <w:t xml:space="preserve"> que communiquées au Client, sont également applicables à la livraison des Produits. Le Dépositaire s’efforce de respecter les délais de livraison indiqués à l’acceptation de la commande. Toutefois, les délais de livraison ne sont donnés qu’à titre informatif et indicatif sans engagement du Dépositaire ceux-ci dépendant notamment des approvisionnements de Mölnlycke, de l’arrivée des commandes et des disponibilités des transporteurs. Le Dépositaire est autorisé à procéder à des livraisons de façon globale ou partielle. Sauf convention expresse, le Client ne peut, en aucun cas, se prévaloir d’un retard de livraison pour annuler la commande, ou refuser livraison des Produits. En toute hypothèse, la livraison ne peut intervenir que si l’acheteur est à jour de ses obligations envers </w:t>
      </w:r>
      <w:r w:rsidR="005E1E63">
        <w:t xml:space="preserve">le Dépositaire ou </w:t>
      </w:r>
      <w:r w:rsidRPr="00260F40">
        <w:t>Mölnlycke</w:t>
      </w:r>
      <w:r>
        <w:t xml:space="preserve">. Le Client s’engage à inspecter l’aspect extérieur des colis présentés à la livraison avant d’accepter celle-ci et à conserver la preuve de tout dommage apparent (photo, </w:t>
      </w:r>
      <w:proofErr w:type="spellStart"/>
      <w:r>
        <w:t>etc</w:t>
      </w:r>
      <w:proofErr w:type="spellEnd"/>
      <w:r>
        <w:t xml:space="preserve">). Tout dommage apparent sur un colis présenté à la livraison doit immédiatement faire l'objet d'une réserve précise et valable sur le bon de livraison. En outre, toute réclamation concernant les dommages de transport éventuellement constatés sur les Produits livrés doit être portée à la connaissance du </w:t>
      </w:r>
      <w:r w:rsidRPr="002432E6">
        <w:t xml:space="preserve">transporteur par lettre </w:t>
      </w:r>
      <w:r>
        <w:t>recommandés avec avis de réception</w:t>
      </w:r>
      <w:r w:rsidRPr="002432E6">
        <w:t xml:space="preserve"> dans un délai de trois (3) jours. Une copie de cette lettre doit être adressée sans délai à Mölnlycke. Aucune réclamation ne sera prise en compte passé ce délai.</w:t>
      </w:r>
    </w:p>
    <w:p w14:paraId="473E22E2" w14:textId="77777777" w:rsidR="00136C03" w:rsidRDefault="00136C03" w:rsidP="006838C7">
      <w:pPr>
        <w:pStyle w:val="Corpsdetexte"/>
        <w:spacing w:before="3"/>
        <w:ind w:left="142" w:right="38"/>
        <w:jc w:val="both"/>
      </w:pPr>
      <w:r w:rsidRPr="002432E6">
        <w:t>Sans préjudice des dispositions à prendre vis-à-vis du transporteur, les réclamations sur les vices apparents ou sur la non-conformité des Produits livrés à la commande ou au bordereau d’expédition, doivent être formulées par écrit dans les tr</w:t>
      </w:r>
      <w:r>
        <w:t>ente</w:t>
      </w:r>
      <w:r w:rsidRPr="002432E6">
        <w:t xml:space="preserve"> jours de la livraison. Il appartiendra au Client de fournir toute justification quant à la réalité des vices ou anomalies constatés. Il devra laisser à Mölnlycke ou à ses partenaires toute facilité pour procéder à la constatation de ces vices et pour y porter</w:t>
      </w:r>
      <w:r w:rsidRPr="002432E6">
        <w:rPr>
          <w:spacing w:val="2"/>
        </w:rPr>
        <w:t xml:space="preserve"> </w:t>
      </w:r>
      <w:r w:rsidRPr="002432E6">
        <w:t>remède. Le Client s’abstiendra d’intervenir lui-même ou de faire intervenir un tiers à cette fin.</w:t>
      </w:r>
      <w:r>
        <w:t xml:space="preserve"> Pour les Produits vendus en conditionné, les poids et mesures au départ font foi des quantités</w:t>
      </w:r>
      <w:r>
        <w:rPr>
          <w:spacing w:val="-18"/>
        </w:rPr>
        <w:t xml:space="preserve"> </w:t>
      </w:r>
      <w:r>
        <w:t>livrées.</w:t>
      </w:r>
    </w:p>
    <w:p w14:paraId="35CD1F21" w14:textId="77777777" w:rsidR="00136C03" w:rsidRDefault="00136C03" w:rsidP="006838C7">
      <w:pPr>
        <w:pStyle w:val="Corpsdetexte"/>
        <w:spacing w:before="8"/>
        <w:ind w:left="142"/>
        <w:rPr>
          <w:sz w:val="13"/>
        </w:rPr>
      </w:pPr>
    </w:p>
    <w:p w14:paraId="19300577" w14:textId="77777777" w:rsidR="00136C03" w:rsidRDefault="00136C03" w:rsidP="006838C7">
      <w:pPr>
        <w:pStyle w:val="Titre2"/>
        <w:numPr>
          <w:ilvl w:val="0"/>
          <w:numId w:val="1"/>
        </w:numPr>
        <w:ind w:left="142"/>
      </w:pPr>
      <w:r>
        <w:rPr>
          <w:color w:val="FF3333"/>
        </w:rPr>
        <w:t>– TRANSFERT DES RISQUES</w:t>
      </w:r>
    </w:p>
    <w:p w14:paraId="624E5CDA" w14:textId="14B4D65B" w:rsidR="00136C03" w:rsidRDefault="00136C03" w:rsidP="006838C7">
      <w:pPr>
        <w:pStyle w:val="Corpsdetexte"/>
        <w:ind w:left="142" w:right="38"/>
        <w:jc w:val="both"/>
      </w:pPr>
      <w:r>
        <w:t>Les Produits livrés par un transporteur voyagent aux risques et périls du Client. Les risques afférents aux Produits livrés par Mölnlycke sont transférés aux Clients à la livraison</w:t>
      </w:r>
      <w:r w:rsidR="003C02BE">
        <w:t xml:space="preserve">, au Client ou </w:t>
      </w:r>
      <w:r w:rsidR="005E1E63">
        <w:t>au transitaire du Client</w:t>
      </w:r>
      <w:r>
        <w:t xml:space="preserve">. </w:t>
      </w:r>
    </w:p>
    <w:p w14:paraId="734D00FE" w14:textId="77777777" w:rsidR="00136C03" w:rsidRDefault="00136C03" w:rsidP="006838C7">
      <w:pPr>
        <w:pStyle w:val="Corpsdetexte"/>
        <w:spacing w:before="9"/>
        <w:ind w:left="142"/>
        <w:rPr>
          <w:sz w:val="13"/>
        </w:rPr>
      </w:pPr>
    </w:p>
    <w:p w14:paraId="6C2BFC65" w14:textId="77777777" w:rsidR="00136C03" w:rsidRDefault="00136C03" w:rsidP="006838C7">
      <w:pPr>
        <w:pStyle w:val="Titre2"/>
        <w:numPr>
          <w:ilvl w:val="0"/>
          <w:numId w:val="1"/>
        </w:numPr>
        <w:ind w:left="142"/>
      </w:pPr>
      <w:r>
        <w:rPr>
          <w:color w:val="FF3333"/>
        </w:rPr>
        <w:t>- RÉSERVE DE</w:t>
      </w:r>
      <w:r>
        <w:rPr>
          <w:color w:val="FF3333"/>
          <w:spacing w:val="-1"/>
        </w:rPr>
        <w:t xml:space="preserve"> </w:t>
      </w:r>
      <w:r>
        <w:rPr>
          <w:color w:val="FF3333"/>
        </w:rPr>
        <w:t>PROPRIÉTÉ</w:t>
      </w:r>
    </w:p>
    <w:p w14:paraId="6E7E8CB9" w14:textId="5F9C053B" w:rsidR="00136C03" w:rsidRDefault="00136C03" w:rsidP="006838C7">
      <w:pPr>
        <w:pStyle w:val="Corpsdetexte"/>
        <w:ind w:left="142" w:right="38"/>
        <w:jc w:val="both"/>
      </w:pPr>
      <w:r>
        <w:t>Le transfert de propriété des Produits est suspendu jusqu’au complet paiement du prix par le client en principal, frais et intérêts. Toute clause contraire, notamment insérée dans les conditions générales d’achat, est réputée non écrite. De convention expresse, Mölnlycke</w:t>
      </w:r>
      <w:r w:rsidDel="00362D9C">
        <w:t xml:space="preserve"> </w:t>
      </w:r>
      <w:r>
        <w:t>pourra faire jouer les droits qu’il détient au titre de la présente clause de réserve de propriété, pour l’une quelconque de ses créances, sur la totalité de ses Produits en possession du Client, ces derni</w:t>
      </w:r>
      <w:r w:rsidR="005E1E63">
        <w:t>ers</w:t>
      </w:r>
      <w:r>
        <w:t xml:space="preserve"> étant conventionnellement présumés être ce</w:t>
      </w:r>
      <w:r w:rsidR="005E1E63">
        <w:t>ux</w:t>
      </w:r>
      <w:r>
        <w:t xml:space="preserve"> impayés, et Mölnlycke</w:t>
      </w:r>
      <w:r w:rsidDel="00785CAE">
        <w:t xml:space="preserve"> </w:t>
      </w:r>
      <w:r>
        <w:t xml:space="preserve">pourra les reprendre ou les revendiquer en dédommagement de toutes ses factures impayées, sans préjudice de son droit de résolution des ventes en cours. En cas de défaut de paiement, le </w:t>
      </w:r>
      <w:r w:rsidR="005E1E63">
        <w:t>C</w:t>
      </w:r>
      <w:r>
        <w:t xml:space="preserve">lient s’interdira de revendre ses stocks à concurrence de la quantité de Produits impayés. Les Produits devront, dans ce cas, être restitués à Mölnlycke sur première demande écrite de celui-ci, aux frais et risques exclusifs du Client. La présente clause de réserve de propriété n’empêche pas que le transfert des risques des Produits soit réalisé au </w:t>
      </w:r>
      <w:r w:rsidR="005E1E63">
        <w:t>C</w:t>
      </w:r>
      <w:r>
        <w:t>lient dès leur livraison à</w:t>
      </w:r>
      <w:r>
        <w:rPr>
          <w:spacing w:val="-1"/>
        </w:rPr>
        <w:t xml:space="preserve"> </w:t>
      </w:r>
      <w:r>
        <w:t>celui-ci.</w:t>
      </w:r>
    </w:p>
    <w:p w14:paraId="07E993EA" w14:textId="77777777" w:rsidR="00136C03" w:rsidRDefault="00136C03" w:rsidP="006838C7">
      <w:pPr>
        <w:pStyle w:val="Corpsdetexte"/>
        <w:spacing w:before="10"/>
        <w:ind w:left="142"/>
        <w:rPr>
          <w:sz w:val="13"/>
        </w:rPr>
      </w:pPr>
    </w:p>
    <w:p w14:paraId="26DC317B" w14:textId="77777777" w:rsidR="00136C03" w:rsidRDefault="00136C03" w:rsidP="006838C7">
      <w:pPr>
        <w:pStyle w:val="Titre2"/>
        <w:numPr>
          <w:ilvl w:val="0"/>
          <w:numId w:val="1"/>
        </w:numPr>
        <w:ind w:left="142"/>
      </w:pPr>
      <w:r>
        <w:rPr>
          <w:color w:val="FF3333"/>
        </w:rPr>
        <w:t>- CONTRÔLES –</w:t>
      </w:r>
      <w:r>
        <w:rPr>
          <w:color w:val="FF3333"/>
          <w:spacing w:val="-2"/>
        </w:rPr>
        <w:t xml:space="preserve"> </w:t>
      </w:r>
      <w:r>
        <w:rPr>
          <w:color w:val="FF3333"/>
        </w:rPr>
        <w:t>RÉCLAMATIONS</w:t>
      </w:r>
    </w:p>
    <w:p w14:paraId="6862FB5F" w14:textId="0AD998EF" w:rsidR="00136C03" w:rsidRDefault="00136C03" w:rsidP="006838C7">
      <w:pPr>
        <w:pStyle w:val="Corpsdetexte"/>
        <w:ind w:left="142" w:right="38"/>
        <w:jc w:val="both"/>
      </w:pPr>
      <w:r>
        <w:t xml:space="preserve">Les Produits doivent être vérifiés par le Client à leur livraison. Toute réclamation, réserve ou contestation relative aux manquants et vices apparents, doit être effectuée, dans les conditions fixées à l’article 3. En cas de défauts apparents validés par Mölnlycke, les Produits défectueux seront remplacés. Le Client devra fournir toute justification quant à la réalité des défauts constatés. Aucune action ou réclamation pour non-conformité ne pourra être engagée par le Client plus de 30 jours après la livraison des Produits. Les défauts et détériorations des Produits livrés consécutifs à des conditions anormales de stockage et/ou de conservation chez le Client ne pourront ouvrir droit à garantie par Mölnlycke. </w:t>
      </w:r>
    </w:p>
    <w:p w14:paraId="3852547D" w14:textId="77777777" w:rsidR="00136C03" w:rsidRDefault="00136C03" w:rsidP="006838C7">
      <w:pPr>
        <w:pStyle w:val="Corpsdetexte"/>
        <w:spacing w:before="0"/>
        <w:ind w:left="142"/>
      </w:pPr>
    </w:p>
    <w:p w14:paraId="4980053E" w14:textId="44DB2570" w:rsidR="00136C03" w:rsidRPr="00056C9A" w:rsidRDefault="00136C03" w:rsidP="006838C7">
      <w:pPr>
        <w:pStyle w:val="Titre2"/>
        <w:numPr>
          <w:ilvl w:val="0"/>
          <w:numId w:val="1"/>
        </w:numPr>
        <w:spacing w:before="1"/>
        <w:ind w:left="142"/>
        <w:rPr>
          <w:color w:val="FF3333"/>
        </w:rPr>
      </w:pPr>
      <w:r w:rsidRPr="00056C9A">
        <w:rPr>
          <w:color w:val="FF3333"/>
        </w:rPr>
        <w:t xml:space="preserve">- RETOURS </w:t>
      </w:r>
    </w:p>
    <w:p w14:paraId="4F560074" w14:textId="7F819FCA" w:rsidR="00136C03" w:rsidRDefault="00136C03" w:rsidP="006838C7">
      <w:pPr>
        <w:pStyle w:val="Corpsdetexte"/>
        <w:ind w:left="142" w:right="115"/>
        <w:jc w:val="both"/>
      </w:pPr>
      <w:r>
        <w:t xml:space="preserve">Tout retour de Produits doit faire l’objet d’un accord formel entre </w:t>
      </w:r>
      <w:r w:rsidR="003C02BE">
        <w:t xml:space="preserve">le Dépositaire ou </w:t>
      </w:r>
      <w:r w:rsidRPr="002275F6">
        <w:t>Mölnlycke</w:t>
      </w:r>
      <w:r w:rsidRPr="002275F6" w:rsidDel="002275F6">
        <w:t xml:space="preserve"> </w:t>
      </w:r>
      <w:r>
        <w:t>et le Client. Tout Produit retourné sans cet accord sera tenu à la disposition du Client et ne donnera pas lieu à l’établissement d’un avoir ou d’un échange de Produit. Les Produits renvoyés devront être accompagnés</w:t>
      </w:r>
      <w:r w:rsidRPr="00056C9A">
        <w:t xml:space="preserve"> </w:t>
      </w:r>
      <w:r w:rsidR="0023157C">
        <w:t>d</w:t>
      </w:r>
      <w:r>
        <w:t xml:space="preserve">’un </w:t>
      </w:r>
      <w:r w:rsidRPr="003553ED">
        <w:t xml:space="preserve">bon de retour à fixer sur le colis et être dans l’état où </w:t>
      </w:r>
      <w:r w:rsidRPr="002275F6">
        <w:t>Mölnlycke</w:t>
      </w:r>
      <w:r w:rsidRPr="002275F6" w:rsidDel="002275F6">
        <w:t xml:space="preserve"> </w:t>
      </w:r>
      <w:r w:rsidRPr="003553ED">
        <w:t xml:space="preserve">les a livrés. </w:t>
      </w:r>
      <w:r>
        <w:t xml:space="preserve">Les coûts afférents aux retours seront à la charge du Client et les Produits retournés voyageront aux risques du Client. </w:t>
      </w:r>
      <w:r w:rsidRPr="003553ED">
        <w:t xml:space="preserve">Le retour ne peut être accepté qu’après vérification qualitative et quantitative des </w:t>
      </w:r>
      <w:r>
        <w:t>Produits</w:t>
      </w:r>
      <w:r w:rsidRPr="003553ED">
        <w:t xml:space="preserve"> retournés. Les retours non conformes à la procédure ci-dessus, </w:t>
      </w:r>
      <w:r>
        <w:t>ne donneront lieu à aucun remboursement</w:t>
      </w:r>
      <w:r w:rsidRPr="003553ED">
        <w:t>.</w:t>
      </w:r>
    </w:p>
    <w:p w14:paraId="315C2F51" w14:textId="77777777" w:rsidR="00136C03" w:rsidRPr="00056C9A" w:rsidRDefault="00136C03" w:rsidP="006838C7">
      <w:pPr>
        <w:pStyle w:val="Corpsdetexte"/>
        <w:spacing w:before="9"/>
        <w:ind w:left="142"/>
        <w:rPr>
          <w:color w:val="FF3333"/>
        </w:rPr>
      </w:pPr>
    </w:p>
    <w:p w14:paraId="389013B6" w14:textId="77777777" w:rsidR="00136C03" w:rsidRDefault="00136C03" w:rsidP="006838C7">
      <w:pPr>
        <w:pStyle w:val="Titre2"/>
        <w:numPr>
          <w:ilvl w:val="0"/>
          <w:numId w:val="1"/>
        </w:numPr>
        <w:spacing w:before="1"/>
        <w:ind w:left="142"/>
      </w:pPr>
      <w:r>
        <w:rPr>
          <w:color w:val="FF3333"/>
        </w:rPr>
        <w:t>- PRIX</w:t>
      </w:r>
    </w:p>
    <w:p w14:paraId="0A510C6E" w14:textId="584A7CC1" w:rsidR="00136C03" w:rsidRDefault="003C02BE" w:rsidP="006838C7">
      <w:pPr>
        <w:pStyle w:val="Corpsdetexte"/>
        <w:ind w:left="142" w:right="115"/>
        <w:jc w:val="both"/>
      </w:pPr>
      <w:r>
        <w:t>Sauf accord écrit entre les parties, l</w:t>
      </w:r>
      <w:r w:rsidR="00136C03">
        <w:t xml:space="preserve">es Produits sont livrés au prix en vigueur au jour de la passation de commande. </w:t>
      </w:r>
      <w:proofErr w:type="spellStart"/>
      <w:r>
        <w:t>L</w:t>
      </w:r>
      <w:r w:rsidR="00136C03">
        <w:t>les</w:t>
      </w:r>
      <w:proofErr w:type="spellEnd"/>
      <w:r w:rsidR="00136C03">
        <w:t xml:space="preserve"> prix sont révisables à tout moment par Mölnlycke, suivant notamment le prix moyen des matières premières qui les composent. Les prix révisés seront applicables un mois après notification écrite du Client sauf accord entre les parties.</w:t>
      </w:r>
    </w:p>
    <w:p w14:paraId="62568D3C" w14:textId="7A0A2764" w:rsidR="00136C03" w:rsidRDefault="00136C03" w:rsidP="006A42DC">
      <w:pPr>
        <w:pStyle w:val="Corpsdetexte"/>
        <w:spacing w:before="10"/>
        <w:ind w:left="142"/>
        <w:rPr>
          <w:sz w:val="13"/>
        </w:rPr>
      </w:pPr>
    </w:p>
    <w:p w14:paraId="72962EF2" w14:textId="3AC57BC7" w:rsidR="006A42DC" w:rsidRDefault="006A42DC" w:rsidP="006A42DC">
      <w:pPr>
        <w:pStyle w:val="Corpsdetexte"/>
        <w:spacing w:before="10"/>
        <w:ind w:left="142"/>
        <w:rPr>
          <w:sz w:val="13"/>
        </w:rPr>
      </w:pPr>
    </w:p>
    <w:p w14:paraId="452A4AF3" w14:textId="77777777" w:rsidR="006A42DC" w:rsidRDefault="006A42DC" w:rsidP="006838C7">
      <w:pPr>
        <w:pStyle w:val="Corpsdetexte"/>
        <w:spacing w:before="10"/>
        <w:ind w:left="142"/>
        <w:rPr>
          <w:sz w:val="13"/>
        </w:rPr>
      </w:pPr>
    </w:p>
    <w:p w14:paraId="2D751642" w14:textId="77777777" w:rsidR="00136C03" w:rsidRDefault="00136C03" w:rsidP="006838C7">
      <w:pPr>
        <w:pStyle w:val="Titre2"/>
        <w:numPr>
          <w:ilvl w:val="0"/>
          <w:numId w:val="1"/>
        </w:numPr>
        <w:ind w:left="142"/>
      </w:pPr>
      <w:r>
        <w:rPr>
          <w:color w:val="FF3333"/>
        </w:rPr>
        <w:t>-</w:t>
      </w:r>
      <w:r>
        <w:rPr>
          <w:color w:val="FF3333"/>
          <w:spacing w:val="-2"/>
        </w:rPr>
        <w:t xml:space="preserve"> </w:t>
      </w:r>
      <w:r>
        <w:rPr>
          <w:color w:val="FF3333"/>
        </w:rPr>
        <w:t>PAIEMENT</w:t>
      </w:r>
    </w:p>
    <w:p w14:paraId="78B79726" w14:textId="26380DAF" w:rsidR="006A42DC" w:rsidRPr="00AB73B1" w:rsidRDefault="00136C03" w:rsidP="006838C7">
      <w:pPr>
        <w:pStyle w:val="Default"/>
        <w:ind w:left="142"/>
        <w:jc w:val="both"/>
        <w:rPr>
          <w:rFonts w:ascii="Arial" w:eastAsia="Arial" w:hAnsi="Arial" w:cs="Arial"/>
          <w:color w:val="auto"/>
          <w:sz w:val="14"/>
          <w:szCs w:val="14"/>
        </w:rPr>
      </w:pPr>
      <w:r w:rsidRPr="00AB73B1">
        <w:rPr>
          <w:rFonts w:ascii="Arial" w:eastAsia="Arial" w:hAnsi="Arial" w:cs="Arial"/>
          <w:color w:val="auto"/>
          <w:sz w:val="14"/>
          <w:szCs w:val="14"/>
        </w:rPr>
        <w:t xml:space="preserve">Sauf autrement convenu par écrit entre les parties, </w:t>
      </w:r>
      <w:r>
        <w:rPr>
          <w:rFonts w:ascii="Arial" w:eastAsia="Arial" w:hAnsi="Arial" w:cs="Arial"/>
          <w:color w:val="auto"/>
          <w:sz w:val="14"/>
          <w:szCs w:val="14"/>
        </w:rPr>
        <w:t>l</w:t>
      </w:r>
      <w:r w:rsidRPr="00E62259">
        <w:rPr>
          <w:rFonts w:ascii="Arial" w:eastAsia="Arial" w:hAnsi="Arial" w:cs="Arial"/>
          <w:color w:val="auto"/>
          <w:sz w:val="14"/>
          <w:szCs w:val="14"/>
        </w:rPr>
        <w:t xml:space="preserve">es marchandises sont payables au plus tard dans un délai de </w:t>
      </w:r>
      <w:r>
        <w:rPr>
          <w:rFonts w:ascii="Arial" w:eastAsia="Arial" w:hAnsi="Arial" w:cs="Arial"/>
          <w:color w:val="auto"/>
          <w:sz w:val="14"/>
          <w:szCs w:val="14"/>
        </w:rPr>
        <w:t>60 jours date de facture</w:t>
      </w:r>
      <w:r w:rsidRPr="00AB73B1">
        <w:rPr>
          <w:rFonts w:ascii="Arial" w:eastAsia="Arial" w:hAnsi="Arial" w:cs="Arial"/>
          <w:color w:val="auto"/>
          <w:sz w:val="14"/>
          <w:szCs w:val="14"/>
        </w:rPr>
        <w:t xml:space="preserve">. </w:t>
      </w:r>
      <w:r>
        <w:rPr>
          <w:rFonts w:ascii="Arial" w:eastAsia="Arial" w:hAnsi="Arial" w:cs="Arial"/>
          <w:color w:val="auto"/>
          <w:sz w:val="14"/>
          <w:szCs w:val="14"/>
        </w:rPr>
        <w:t>P</w:t>
      </w:r>
      <w:r w:rsidRPr="00E62259">
        <w:rPr>
          <w:rFonts w:ascii="Arial" w:eastAsia="Arial" w:hAnsi="Arial" w:cs="Arial"/>
          <w:color w:val="auto"/>
          <w:sz w:val="14"/>
          <w:szCs w:val="14"/>
        </w:rPr>
        <w:t xml:space="preserve">our les DROM-COM </w:t>
      </w:r>
      <w:r>
        <w:rPr>
          <w:rFonts w:ascii="Arial" w:eastAsia="Arial" w:hAnsi="Arial" w:cs="Arial"/>
          <w:color w:val="auto"/>
          <w:sz w:val="14"/>
          <w:szCs w:val="14"/>
        </w:rPr>
        <w:t xml:space="preserve">le délai court </w:t>
      </w:r>
      <w:r w:rsidRPr="00AB73B1">
        <w:rPr>
          <w:rFonts w:ascii="Arial" w:eastAsia="Arial" w:hAnsi="Arial" w:cs="Arial"/>
          <w:color w:val="auto"/>
          <w:sz w:val="14"/>
          <w:szCs w:val="14"/>
        </w:rPr>
        <w:t xml:space="preserve">à compter du dédouanement des Produits au port de destination finale, ou du vingt et unième jour suivant la date de la mise à disposition des Produits au Client ou à son représentant en </w:t>
      </w:r>
      <w:r>
        <w:rPr>
          <w:rFonts w:ascii="Arial" w:eastAsia="Arial" w:hAnsi="Arial" w:cs="Arial"/>
          <w:color w:val="auto"/>
          <w:sz w:val="14"/>
          <w:szCs w:val="14"/>
        </w:rPr>
        <w:t>M</w:t>
      </w:r>
      <w:r w:rsidRPr="00AB73B1">
        <w:rPr>
          <w:rFonts w:ascii="Arial" w:eastAsia="Arial" w:hAnsi="Arial" w:cs="Arial"/>
          <w:color w:val="auto"/>
          <w:sz w:val="14"/>
          <w:szCs w:val="14"/>
        </w:rPr>
        <w:t>étropole.</w:t>
      </w:r>
    </w:p>
    <w:p w14:paraId="5B44F9A7" w14:textId="77777777" w:rsidR="00136C03" w:rsidRPr="00E62259" w:rsidRDefault="00136C03" w:rsidP="006838C7">
      <w:pPr>
        <w:pStyle w:val="Default"/>
        <w:ind w:left="142"/>
        <w:jc w:val="both"/>
        <w:rPr>
          <w:rFonts w:ascii="Arial" w:eastAsia="Arial" w:hAnsi="Arial" w:cs="Arial"/>
          <w:color w:val="auto"/>
          <w:sz w:val="14"/>
          <w:szCs w:val="14"/>
        </w:rPr>
      </w:pPr>
      <w:r w:rsidRPr="00AB73B1">
        <w:rPr>
          <w:rFonts w:ascii="Arial" w:eastAsia="Arial" w:hAnsi="Arial" w:cs="Arial"/>
          <w:color w:val="auto"/>
          <w:sz w:val="14"/>
          <w:szCs w:val="14"/>
        </w:rPr>
        <w:t>Le règlement se fait par lettre de change relevé (ci-après LCR)</w:t>
      </w:r>
      <w:r>
        <w:rPr>
          <w:rFonts w:ascii="Arial" w:eastAsia="Arial" w:hAnsi="Arial" w:cs="Arial"/>
          <w:color w:val="auto"/>
          <w:sz w:val="14"/>
          <w:szCs w:val="14"/>
        </w:rPr>
        <w:t>,</w:t>
      </w:r>
      <w:r w:rsidRPr="00E62259">
        <w:rPr>
          <w:rFonts w:ascii="Arial" w:eastAsia="Arial" w:hAnsi="Arial" w:cs="Arial"/>
          <w:color w:val="auto"/>
          <w:sz w:val="14"/>
          <w:szCs w:val="14"/>
        </w:rPr>
        <w:t xml:space="preserve"> par prélèvement automatique</w:t>
      </w:r>
      <w:r>
        <w:rPr>
          <w:rFonts w:ascii="Arial" w:eastAsia="Arial" w:hAnsi="Arial" w:cs="Arial"/>
          <w:color w:val="auto"/>
          <w:sz w:val="14"/>
          <w:szCs w:val="14"/>
        </w:rPr>
        <w:t xml:space="preserve">, </w:t>
      </w:r>
      <w:r w:rsidRPr="00E62259">
        <w:rPr>
          <w:rFonts w:ascii="Arial" w:eastAsia="Arial" w:hAnsi="Arial" w:cs="Arial"/>
          <w:color w:val="auto"/>
          <w:sz w:val="14"/>
          <w:szCs w:val="14"/>
        </w:rPr>
        <w:t xml:space="preserve">par chèque bancaire ou par virement bancaire. </w:t>
      </w:r>
    </w:p>
    <w:p w14:paraId="002A65FF" w14:textId="77777777" w:rsidR="00136C03" w:rsidRPr="00AB73B1" w:rsidRDefault="00136C03" w:rsidP="006838C7">
      <w:pPr>
        <w:pStyle w:val="Default"/>
        <w:ind w:left="142"/>
        <w:jc w:val="both"/>
        <w:rPr>
          <w:rFonts w:ascii="Arial" w:eastAsia="Arial" w:hAnsi="Arial" w:cs="Arial"/>
          <w:color w:val="auto"/>
          <w:sz w:val="14"/>
          <w:szCs w:val="14"/>
        </w:rPr>
      </w:pPr>
      <w:r w:rsidRPr="00E62259">
        <w:rPr>
          <w:rFonts w:ascii="Arial" w:eastAsia="Arial" w:hAnsi="Arial" w:cs="Arial"/>
          <w:color w:val="auto"/>
          <w:sz w:val="14"/>
          <w:szCs w:val="14"/>
        </w:rPr>
        <w:t xml:space="preserve">Quel que soit le mode de paiement utilisé, le </w:t>
      </w:r>
      <w:r w:rsidRPr="00AB73B1">
        <w:rPr>
          <w:rFonts w:ascii="Arial" w:eastAsia="Arial" w:hAnsi="Arial" w:cs="Arial"/>
          <w:color w:val="auto"/>
          <w:sz w:val="14"/>
          <w:szCs w:val="14"/>
        </w:rPr>
        <w:t xml:space="preserve">Client doit impérativement transmettre un Relevé d’Identité Bancaire complet </w:t>
      </w:r>
      <w:r>
        <w:rPr>
          <w:rFonts w:ascii="Arial" w:eastAsia="Arial" w:hAnsi="Arial" w:cs="Arial"/>
          <w:color w:val="auto"/>
          <w:sz w:val="14"/>
          <w:szCs w:val="14"/>
        </w:rPr>
        <w:t xml:space="preserve">à </w:t>
      </w:r>
      <w:r w:rsidRPr="006C676D">
        <w:rPr>
          <w:rFonts w:ascii="Arial" w:eastAsia="Arial" w:hAnsi="Arial" w:cs="Arial"/>
          <w:color w:val="auto"/>
          <w:sz w:val="14"/>
          <w:szCs w:val="14"/>
        </w:rPr>
        <w:t xml:space="preserve">Mölnlycke </w:t>
      </w:r>
      <w:r>
        <w:rPr>
          <w:rFonts w:ascii="Arial" w:eastAsia="Arial" w:hAnsi="Arial" w:cs="Arial"/>
          <w:color w:val="auto"/>
          <w:sz w:val="14"/>
          <w:szCs w:val="14"/>
        </w:rPr>
        <w:t>ou à son Dépositaire</w:t>
      </w:r>
      <w:r w:rsidRPr="00AB73B1">
        <w:rPr>
          <w:rFonts w:ascii="Arial" w:eastAsia="Arial" w:hAnsi="Arial" w:cs="Arial"/>
          <w:color w:val="auto"/>
          <w:sz w:val="14"/>
          <w:szCs w:val="14"/>
        </w:rPr>
        <w:t xml:space="preserve"> lors de sa première commande. </w:t>
      </w:r>
    </w:p>
    <w:p w14:paraId="75979172" w14:textId="77777777" w:rsidR="00136C03" w:rsidRPr="00AB73B1" w:rsidRDefault="00136C03" w:rsidP="006838C7">
      <w:pPr>
        <w:ind w:left="142"/>
        <w:jc w:val="both"/>
        <w:rPr>
          <w:sz w:val="14"/>
          <w:szCs w:val="14"/>
        </w:rPr>
      </w:pPr>
      <w:r>
        <w:rPr>
          <w:sz w:val="14"/>
          <w:szCs w:val="14"/>
        </w:rPr>
        <w:t xml:space="preserve">Le non-paiement d’une facture à son échéance entraîne de plein droit la déchéance du terme de toutes factures non encore échues. En conséquence, le paiement de toutes sommes dues par le </w:t>
      </w:r>
      <w:r w:rsidRPr="00AB73B1">
        <w:rPr>
          <w:sz w:val="14"/>
          <w:szCs w:val="14"/>
        </w:rPr>
        <w:t xml:space="preserve">Client </w:t>
      </w:r>
      <w:r>
        <w:rPr>
          <w:sz w:val="14"/>
          <w:szCs w:val="14"/>
        </w:rPr>
        <w:t>deviendront immédiatement exigibles, quel que soit le mode de paiement habituellement utilisé.</w:t>
      </w:r>
    </w:p>
    <w:p w14:paraId="5D4EA48E" w14:textId="4F71BDCD" w:rsidR="006A42DC" w:rsidRDefault="00136C03" w:rsidP="006838C7">
      <w:pPr>
        <w:pStyle w:val="Corpsdetexte"/>
        <w:spacing w:before="3"/>
        <w:ind w:left="142" w:right="115"/>
        <w:jc w:val="both"/>
      </w:pPr>
      <w:r>
        <w:t>Tout retard de paiement entraîne l’application de pénalités d’un montant égal à trois fois le taux de l’intérêt légal, outre une indemnité forfaitaire de 40 euros. Ces pénalités sont exigibles de plein droit, sans relance ou mise en demeure préalable et commencent à courir le jour suivant la date de règlement prévue sur la facture, sans préjudice des autres conséquences qui pourraient découler de ce retard. Aucun escompte ne sera accordé pour paiement anticipé. Dans tous les cas où la situation financière du Client suscite des inquiétudes justifiées, Mölnlycke</w:t>
      </w:r>
      <w:r w:rsidDel="002275F6">
        <w:t xml:space="preserve"> </w:t>
      </w:r>
      <w:r>
        <w:t>pourra suspendre l’exécution de toutes commandes en cours ou, pour ces commandes et celles ultérieures, exiger la constitution</w:t>
      </w:r>
      <w:r>
        <w:rPr>
          <w:spacing w:val="22"/>
        </w:rPr>
        <w:t xml:space="preserve"> </w:t>
      </w:r>
      <w:r>
        <w:t>de</w:t>
      </w:r>
      <w:r>
        <w:rPr>
          <w:spacing w:val="22"/>
        </w:rPr>
        <w:t xml:space="preserve"> </w:t>
      </w:r>
      <w:r>
        <w:t>sûretés</w:t>
      </w:r>
      <w:r>
        <w:rPr>
          <w:spacing w:val="22"/>
        </w:rPr>
        <w:t xml:space="preserve"> </w:t>
      </w:r>
      <w:r>
        <w:t>ou</w:t>
      </w:r>
      <w:r>
        <w:rPr>
          <w:spacing w:val="23"/>
        </w:rPr>
        <w:t xml:space="preserve"> </w:t>
      </w:r>
      <w:r>
        <w:t>un</w:t>
      </w:r>
      <w:r>
        <w:rPr>
          <w:spacing w:val="19"/>
        </w:rPr>
        <w:t xml:space="preserve"> </w:t>
      </w:r>
      <w:r>
        <w:t>paiement</w:t>
      </w:r>
      <w:r>
        <w:rPr>
          <w:spacing w:val="22"/>
        </w:rPr>
        <w:t xml:space="preserve"> </w:t>
      </w:r>
      <w:r>
        <w:t>comptant.</w:t>
      </w:r>
    </w:p>
    <w:p w14:paraId="51897235" w14:textId="598B4966" w:rsidR="00136C03" w:rsidRDefault="00136C03" w:rsidP="006838C7">
      <w:pPr>
        <w:pStyle w:val="Corpsdetexte"/>
        <w:spacing w:before="3"/>
        <w:ind w:left="142" w:right="115"/>
        <w:jc w:val="both"/>
      </w:pPr>
      <w:r>
        <w:t xml:space="preserve"> </w:t>
      </w:r>
    </w:p>
    <w:p w14:paraId="16ABEAAD" w14:textId="3B55F222" w:rsidR="00136C03" w:rsidRPr="00D17F50" w:rsidRDefault="006A42DC" w:rsidP="006838C7">
      <w:pPr>
        <w:pStyle w:val="Titre2"/>
        <w:spacing w:before="1"/>
        <w:ind w:left="0" w:firstLine="0"/>
        <w:jc w:val="both"/>
      </w:pPr>
      <w:r>
        <w:rPr>
          <w:color w:val="FF3333"/>
        </w:rPr>
        <w:t xml:space="preserve">10 - </w:t>
      </w:r>
      <w:r w:rsidR="00136C03">
        <w:rPr>
          <w:color w:val="FF3333"/>
        </w:rPr>
        <w:t>RESPECT DE LA REGLEMENTATION</w:t>
      </w:r>
    </w:p>
    <w:p w14:paraId="5C569B0E" w14:textId="77777777" w:rsidR="00136C03" w:rsidRPr="00D17F50" w:rsidRDefault="00136C03" w:rsidP="006838C7">
      <w:pPr>
        <w:pStyle w:val="Titre2"/>
        <w:spacing w:before="1"/>
        <w:ind w:left="142" w:firstLine="0"/>
        <w:jc w:val="both"/>
        <w:rPr>
          <w:b w:val="0"/>
          <w:bCs w:val="0"/>
        </w:rPr>
      </w:pPr>
      <w:r w:rsidRPr="00D17F50">
        <w:rPr>
          <w:b w:val="0"/>
          <w:bCs w:val="0"/>
        </w:rPr>
        <w:t xml:space="preserve">Mölnlycke </w:t>
      </w:r>
      <w:r>
        <w:rPr>
          <w:b w:val="0"/>
          <w:bCs w:val="0"/>
        </w:rPr>
        <w:t>et le Client</w:t>
      </w:r>
      <w:r w:rsidRPr="00D17F50">
        <w:rPr>
          <w:b w:val="0"/>
          <w:bCs w:val="0"/>
        </w:rPr>
        <w:t xml:space="preserve"> s'engagent à respecter la</w:t>
      </w:r>
      <w:r>
        <w:rPr>
          <w:b w:val="0"/>
          <w:bCs w:val="0"/>
        </w:rPr>
        <w:t xml:space="preserve"> </w:t>
      </w:r>
      <w:r w:rsidRPr="00D17F50">
        <w:rPr>
          <w:b w:val="0"/>
          <w:bCs w:val="0"/>
        </w:rPr>
        <w:t>règlementation applicable</w:t>
      </w:r>
      <w:r>
        <w:rPr>
          <w:b w:val="0"/>
          <w:bCs w:val="0"/>
        </w:rPr>
        <w:t xml:space="preserve"> à leurs activités</w:t>
      </w:r>
      <w:r w:rsidRPr="00D17F50">
        <w:rPr>
          <w:b w:val="0"/>
          <w:bCs w:val="0"/>
        </w:rPr>
        <w:t xml:space="preserve">. </w:t>
      </w:r>
    </w:p>
    <w:p w14:paraId="0187485F" w14:textId="622C4520" w:rsidR="00136C03" w:rsidRPr="00D17F50" w:rsidRDefault="00136C03" w:rsidP="006838C7">
      <w:pPr>
        <w:pStyle w:val="Titre2"/>
        <w:spacing w:before="1"/>
        <w:ind w:left="142" w:firstLine="0"/>
        <w:jc w:val="both"/>
        <w:rPr>
          <w:b w:val="0"/>
          <w:bCs w:val="0"/>
        </w:rPr>
      </w:pPr>
      <w:r w:rsidRPr="00D17F50">
        <w:rPr>
          <w:b w:val="0"/>
          <w:bCs w:val="0"/>
        </w:rPr>
        <w:t xml:space="preserve">A cette fin, Mölnlycke </w:t>
      </w:r>
      <w:r>
        <w:rPr>
          <w:b w:val="0"/>
          <w:bCs w:val="0"/>
        </w:rPr>
        <w:t>et le Client</w:t>
      </w:r>
      <w:r w:rsidRPr="00170A68">
        <w:rPr>
          <w:b w:val="0"/>
          <w:bCs w:val="0"/>
        </w:rPr>
        <w:t xml:space="preserve"> </w:t>
      </w:r>
      <w:r w:rsidRPr="00D17F50">
        <w:rPr>
          <w:b w:val="0"/>
          <w:bCs w:val="0"/>
        </w:rPr>
        <w:t>s'engagent notamment à mettre en place les procédures nécessaires pour assurer le respect de la règlementation relative à la protection des données personnelles</w:t>
      </w:r>
      <w:r w:rsidR="001626CC">
        <w:rPr>
          <w:b w:val="0"/>
          <w:bCs w:val="0"/>
        </w:rPr>
        <w:t xml:space="preserve"> et du Règlement (UE) 2017/745 relatif aux dispositifs médicaux</w:t>
      </w:r>
      <w:r w:rsidRPr="00D17F50">
        <w:rPr>
          <w:b w:val="0"/>
          <w:bCs w:val="0"/>
        </w:rPr>
        <w:t>.</w:t>
      </w:r>
      <w:r>
        <w:rPr>
          <w:b w:val="0"/>
          <w:bCs w:val="0"/>
        </w:rPr>
        <w:t xml:space="preserve"> </w:t>
      </w:r>
    </w:p>
    <w:p w14:paraId="551FE6D9" w14:textId="77777777" w:rsidR="006A42DC" w:rsidRPr="00D17F50" w:rsidRDefault="006A42DC" w:rsidP="006838C7">
      <w:pPr>
        <w:pStyle w:val="Titre2"/>
        <w:spacing w:before="1"/>
        <w:ind w:left="142" w:firstLine="0"/>
      </w:pPr>
    </w:p>
    <w:p w14:paraId="412DDB8E" w14:textId="2FFB1462" w:rsidR="00136C03" w:rsidRDefault="006A42DC" w:rsidP="006838C7">
      <w:pPr>
        <w:pStyle w:val="Titre2"/>
        <w:spacing w:before="1"/>
        <w:ind w:left="0" w:firstLine="0"/>
      </w:pPr>
      <w:r>
        <w:rPr>
          <w:color w:val="FF3333"/>
        </w:rPr>
        <w:t xml:space="preserve">11 - </w:t>
      </w:r>
      <w:r w:rsidR="00136C03">
        <w:rPr>
          <w:color w:val="FF3333"/>
          <w:spacing w:val="-2"/>
        </w:rPr>
        <w:t>RETRAITS ET RAPPE</w:t>
      </w:r>
      <w:r w:rsidR="00136C03" w:rsidRPr="00D17F50">
        <w:rPr>
          <w:color w:val="FF3333"/>
          <w:spacing w:val="-2"/>
        </w:rPr>
        <w:t>LS DE LOTS</w:t>
      </w:r>
    </w:p>
    <w:p w14:paraId="174CAA22" w14:textId="77777777" w:rsidR="00136C03" w:rsidRPr="008840B9" w:rsidRDefault="00136C03" w:rsidP="006838C7">
      <w:pPr>
        <w:pStyle w:val="Titre2"/>
        <w:spacing w:before="1"/>
        <w:ind w:left="142" w:firstLine="0"/>
        <w:jc w:val="both"/>
        <w:rPr>
          <w:b w:val="0"/>
          <w:bCs w:val="0"/>
        </w:rPr>
      </w:pPr>
      <w:r w:rsidRPr="008840B9">
        <w:rPr>
          <w:b w:val="0"/>
          <w:bCs w:val="0"/>
        </w:rPr>
        <w:t>Les produits identifiés comme potentiellement non-conformes doivent être mis en quarantaine dans les centres de distribution d</w:t>
      </w:r>
      <w:r>
        <w:rPr>
          <w:b w:val="0"/>
          <w:bCs w:val="0"/>
        </w:rPr>
        <w:t>u</w:t>
      </w:r>
      <w:r w:rsidRPr="00E62259">
        <w:rPr>
          <w:b w:val="0"/>
          <w:bCs w:val="0"/>
        </w:rPr>
        <w:t xml:space="preserve"> </w:t>
      </w:r>
      <w:r>
        <w:rPr>
          <w:b w:val="0"/>
          <w:bCs w:val="0"/>
        </w:rPr>
        <w:t>C</w:t>
      </w:r>
      <w:r w:rsidRPr="00E62259">
        <w:rPr>
          <w:b w:val="0"/>
          <w:bCs w:val="0"/>
        </w:rPr>
        <w:t>lient</w:t>
      </w:r>
    </w:p>
    <w:p w14:paraId="7327A221" w14:textId="77777777" w:rsidR="00136C03" w:rsidRPr="008840B9" w:rsidRDefault="00136C03" w:rsidP="006838C7">
      <w:pPr>
        <w:pStyle w:val="Titre2"/>
        <w:spacing w:before="1"/>
        <w:ind w:left="142" w:firstLine="0"/>
        <w:jc w:val="both"/>
        <w:rPr>
          <w:b w:val="0"/>
          <w:bCs w:val="0"/>
        </w:rPr>
      </w:pPr>
      <w:r w:rsidRPr="008840B9">
        <w:rPr>
          <w:b w:val="0"/>
          <w:bCs w:val="0"/>
        </w:rPr>
        <w:t xml:space="preserve">Le Dépositaire est en charge de l’organisation de la reprise des </w:t>
      </w:r>
      <w:r>
        <w:rPr>
          <w:b w:val="0"/>
          <w:bCs w:val="0"/>
        </w:rPr>
        <w:t>P</w:t>
      </w:r>
      <w:r w:rsidRPr="008840B9">
        <w:rPr>
          <w:b w:val="0"/>
          <w:bCs w:val="0"/>
        </w:rPr>
        <w:t xml:space="preserve">roduits en lien avec le </w:t>
      </w:r>
      <w:r>
        <w:rPr>
          <w:b w:val="0"/>
          <w:bCs w:val="0"/>
        </w:rPr>
        <w:t>C</w:t>
      </w:r>
      <w:r w:rsidRPr="00E62259">
        <w:rPr>
          <w:b w:val="0"/>
          <w:bCs w:val="0"/>
        </w:rPr>
        <w:t xml:space="preserve">lient. Il peut fournir au client les étiquettes « quarantaine » pour isoler les lots. Les </w:t>
      </w:r>
      <w:r>
        <w:rPr>
          <w:b w:val="0"/>
          <w:bCs w:val="0"/>
        </w:rPr>
        <w:t>P</w:t>
      </w:r>
      <w:r w:rsidRPr="00E62259">
        <w:rPr>
          <w:b w:val="0"/>
          <w:bCs w:val="0"/>
        </w:rPr>
        <w:t xml:space="preserve">roduits étiquetés avec le numéro de la réclamation sont rapatriés dans l’un des centres logistiques du </w:t>
      </w:r>
      <w:r>
        <w:rPr>
          <w:b w:val="0"/>
          <w:bCs w:val="0"/>
        </w:rPr>
        <w:t>D</w:t>
      </w:r>
      <w:r w:rsidRPr="00E62259">
        <w:rPr>
          <w:b w:val="0"/>
          <w:bCs w:val="0"/>
        </w:rPr>
        <w:t xml:space="preserve">épositaire et mis en quarantaine selon les procédures internes, en attente de décision sur leur </w:t>
      </w:r>
      <w:r w:rsidRPr="008840B9">
        <w:rPr>
          <w:b w:val="0"/>
          <w:bCs w:val="0"/>
        </w:rPr>
        <w:t>devenir.</w:t>
      </w:r>
    </w:p>
    <w:p w14:paraId="5283CCA4" w14:textId="77777777" w:rsidR="00136C03" w:rsidRDefault="00136C03" w:rsidP="006838C7">
      <w:pPr>
        <w:pStyle w:val="Titre2"/>
        <w:spacing w:before="1"/>
        <w:ind w:left="142" w:firstLine="0"/>
        <w:jc w:val="both"/>
      </w:pPr>
      <w:r w:rsidRPr="008840B9">
        <w:rPr>
          <w:b w:val="0"/>
          <w:bCs w:val="0"/>
        </w:rPr>
        <w:t xml:space="preserve">Le remplacement des </w:t>
      </w:r>
      <w:r>
        <w:rPr>
          <w:b w:val="0"/>
          <w:bCs w:val="0"/>
        </w:rPr>
        <w:t>P</w:t>
      </w:r>
      <w:r w:rsidRPr="00E62259">
        <w:rPr>
          <w:b w:val="0"/>
          <w:bCs w:val="0"/>
        </w:rPr>
        <w:t>roduits</w:t>
      </w:r>
      <w:r w:rsidRPr="008840B9">
        <w:rPr>
          <w:b w:val="0"/>
          <w:bCs w:val="0"/>
        </w:rPr>
        <w:t xml:space="preserve"> ou leur remboursement est géré par Mölnlycke en lien avec le </w:t>
      </w:r>
      <w:r>
        <w:rPr>
          <w:b w:val="0"/>
          <w:bCs w:val="0"/>
        </w:rPr>
        <w:t>C</w:t>
      </w:r>
      <w:r w:rsidRPr="00E62259">
        <w:rPr>
          <w:b w:val="0"/>
          <w:bCs w:val="0"/>
        </w:rPr>
        <w:t>lient.</w:t>
      </w:r>
    </w:p>
    <w:p w14:paraId="280FEC68" w14:textId="77777777" w:rsidR="006A42DC" w:rsidRPr="00E62259" w:rsidRDefault="006A42DC" w:rsidP="006838C7">
      <w:pPr>
        <w:pStyle w:val="Titre2"/>
        <w:tabs>
          <w:tab w:val="left" w:pos="303"/>
        </w:tabs>
        <w:ind w:left="142"/>
        <w:rPr>
          <w:color w:val="FF0000"/>
        </w:rPr>
      </w:pPr>
    </w:p>
    <w:p w14:paraId="5048678F" w14:textId="4E49C08D" w:rsidR="00136C03" w:rsidRPr="00E62259" w:rsidRDefault="006A42DC" w:rsidP="006838C7">
      <w:pPr>
        <w:pStyle w:val="Titre2"/>
        <w:tabs>
          <w:tab w:val="left" w:pos="303"/>
        </w:tabs>
        <w:ind w:left="0" w:firstLine="0"/>
        <w:rPr>
          <w:color w:val="FF0000"/>
        </w:rPr>
      </w:pPr>
      <w:r>
        <w:rPr>
          <w:color w:val="FF0000"/>
        </w:rPr>
        <w:t xml:space="preserve">12 - </w:t>
      </w:r>
      <w:r w:rsidR="00136C03" w:rsidRPr="00E62259">
        <w:rPr>
          <w:color w:val="FF0000"/>
        </w:rPr>
        <w:t>MATERIOVIGILANCE ET TRACABILITE</w:t>
      </w:r>
    </w:p>
    <w:p w14:paraId="04B9CBAB" w14:textId="77777777" w:rsidR="00136C03" w:rsidRDefault="00136C03" w:rsidP="006838C7">
      <w:pPr>
        <w:pStyle w:val="Corpsdetexte"/>
        <w:spacing w:before="3"/>
        <w:ind w:left="142" w:right="115"/>
        <w:jc w:val="both"/>
      </w:pPr>
      <w:r>
        <w:t>Compte tenu des contraintes règlementaires particulières applicables notamment aux dispositifs médicaux et sans préjudice des dispositions prévues par le Code de Santé Publique, le Client s’engage à :</w:t>
      </w:r>
    </w:p>
    <w:p w14:paraId="66C7161E" w14:textId="77777777" w:rsidR="00136C03" w:rsidRDefault="00136C03" w:rsidP="006838C7">
      <w:pPr>
        <w:pStyle w:val="Corpsdetexte"/>
        <w:spacing w:before="3"/>
        <w:ind w:left="142" w:right="115"/>
        <w:jc w:val="both"/>
      </w:pPr>
      <w:r>
        <w:t>(i) assurer la traçabilité des Produits ayant la qualification de dispositifs médicaux pour lesquels Mölnlycke émet un numéro de lot ou un numéro de série et/ou un code IUD (Identifiant Unique du Dispositif) ;</w:t>
      </w:r>
    </w:p>
    <w:p w14:paraId="7EA8632C" w14:textId="77777777" w:rsidR="00136C03" w:rsidRDefault="00136C03" w:rsidP="006838C7">
      <w:pPr>
        <w:pStyle w:val="Corpsdetexte"/>
        <w:spacing w:before="3"/>
        <w:ind w:left="142" w:right="115"/>
        <w:jc w:val="both"/>
      </w:pPr>
      <w:r>
        <w:t>(ii) signaler sans délai tout incident ou dysfonctionnement ayant porté atteinte ou susceptible de porter atteinte à la sécurité et/ou à la santé des personnes ;</w:t>
      </w:r>
    </w:p>
    <w:p w14:paraId="1CF18CDE" w14:textId="77777777" w:rsidR="00136C03" w:rsidRDefault="00136C03" w:rsidP="006838C7">
      <w:pPr>
        <w:pStyle w:val="Corpsdetexte"/>
        <w:spacing w:before="3"/>
        <w:ind w:left="142" w:right="115"/>
        <w:jc w:val="both"/>
      </w:pPr>
      <w:r>
        <w:t>(iii) respecter les dispositions légales et réglementaires applicables à son activité ;</w:t>
      </w:r>
    </w:p>
    <w:p w14:paraId="79B5DA1E" w14:textId="77777777" w:rsidR="00136C03" w:rsidRDefault="00136C03" w:rsidP="006838C7">
      <w:pPr>
        <w:pStyle w:val="Corpsdetexte"/>
        <w:spacing w:before="3"/>
        <w:ind w:left="142" w:right="115"/>
        <w:jc w:val="both"/>
      </w:pPr>
      <w:r>
        <w:t>(iv) se conformer à toutes instructions qui lui seraient données par Mölnlycke ou tout organisme public en relation avec les Produits ou leur utilisation.</w:t>
      </w:r>
    </w:p>
    <w:p w14:paraId="507D96F3" w14:textId="77777777" w:rsidR="00136C03" w:rsidRPr="00056C9A" w:rsidRDefault="00136C03" w:rsidP="006838C7">
      <w:pPr>
        <w:pStyle w:val="Titre2"/>
        <w:tabs>
          <w:tab w:val="left" w:pos="303"/>
        </w:tabs>
        <w:ind w:left="142" w:firstLine="0"/>
      </w:pPr>
    </w:p>
    <w:p w14:paraId="7D14D166" w14:textId="2F732267" w:rsidR="00136C03" w:rsidRDefault="006A42DC" w:rsidP="006838C7">
      <w:pPr>
        <w:pStyle w:val="Titre2"/>
        <w:tabs>
          <w:tab w:val="left" w:pos="303"/>
        </w:tabs>
        <w:ind w:left="0" w:firstLine="0"/>
      </w:pPr>
      <w:r>
        <w:rPr>
          <w:color w:val="FF3333"/>
          <w:spacing w:val="-3"/>
        </w:rPr>
        <w:t xml:space="preserve">13 - </w:t>
      </w:r>
      <w:r w:rsidR="00136C03">
        <w:rPr>
          <w:color w:val="FF3333"/>
        </w:rPr>
        <w:t>RESPONSABILITÉ</w:t>
      </w:r>
    </w:p>
    <w:p w14:paraId="22B23031" w14:textId="03C54B3C" w:rsidR="00136C03" w:rsidRDefault="00136C03" w:rsidP="006838C7">
      <w:pPr>
        <w:pStyle w:val="Corpsdetexte"/>
        <w:spacing w:before="3"/>
        <w:ind w:left="142" w:right="115"/>
        <w:jc w:val="both"/>
      </w:pPr>
      <w:r>
        <w:t>La responsabilité de Mölnlycke est strictement limitée au remboursement ou remplacement des Produits qui seraient reconnus non conformes aux spécifications à l’exclusion de tout autre dédommagement quel qu’il soit. Aucune responsabilité de Mölnlycke ne pourra être recherchée en cas d’usage non conforme ou impropre des</w:t>
      </w:r>
      <w:r>
        <w:rPr>
          <w:spacing w:val="2"/>
        </w:rPr>
        <w:t xml:space="preserve"> </w:t>
      </w:r>
      <w:r>
        <w:t>Produits.</w:t>
      </w:r>
      <w:r w:rsidRPr="00C0666A">
        <w:t xml:space="preserve"> </w:t>
      </w:r>
      <w:r>
        <w:t>Mölnlycke</w:t>
      </w:r>
      <w:r w:rsidRPr="00C0666A">
        <w:t xml:space="preserve"> ne pourra en aucun cas être tenu responsable de tout dommage subi par un tiers (à l’exception des dommages corporels)</w:t>
      </w:r>
      <w:r>
        <w:t>,</w:t>
      </w:r>
      <w:r w:rsidRPr="00C0666A">
        <w:t xml:space="preserve"> </w:t>
      </w:r>
      <w:r w:rsidR="001347EC">
        <w:t xml:space="preserve">ni </w:t>
      </w:r>
      <w:r w:rsidRPr="00C0666A">
        <w:t xml:space="preserve">de tout dommage indirect subi par le </w:t>
      </w:r>
      <w:r>
        <w:t>Client</w:t>
      </w:r>
      <w:r w:rsidRPr="00C0666A">
        <w:t xml:space="preserve"> </w:t>
      </w:r>
      <w:r w:rsidR="001347EC">
        <w:t>tel que</w:t>
      </w:r>
      <w:r w:rsidRPr="00C0666A">
        <w:t xml:space="preserve"> préjudice commercial</w:t>
      </w:r>
      <w:r w:rsidR="001347EC">
        <w:t xml:space="preserve">, </w:t>
      </w:r>
      <w:r w:rsidRPr="00C0666A">
        <w:t>trouble commercial quelconque, perte de bénéfice, perte de commandes, perte d’économies escomptées, perte d’exploitation, perte de chance, perte d’image, perte de trafic.</w:t>
      </w:r>
      <w:r>
        <w:t xml:space="preserve"> </w:t>
      </w:r>
    </w:p>
    <w:p w14:paraId="50639B96" w14:textId="77777777" w:rsidR="006A42DC" w:rsidRDefault="006A42DC" w:rsidP="006838C7">
      <w:pPr>
        <w:pStyle w:val="Corpsdetexte"/>
        <w:spacing w:before="9"/>
        <w:ind w:left="142"/>
        <w:rPr>
          <w:sz w:val="13"/>
        </w:rPr>
      </w:pPr>
    </w:p>
    <w:p w14:paraId="06CC1F4C" w14:textId="6EFBA401" w:rsidR="00136C03" w:rsidRDefault="006A42DC" w:rsidP="006838C7">
      <w:pPr>
        <w:pStyle w:val="Titre2"/>
        <w:tabs>
          <w:tab w:val="left" w:pos="303"/>
        </w:tabs>
        <w:ind w:left="0" w:firstLine="0"/>
      </w:pPr>
      <w:r>
        <w:rPr>
          <w:color w:val="FF3333"/>
        </w:rPr>
        <w:t xml:space="preserve">14 - </w:t>
      </w:r>
      <w:r w:rsidR="00136C03">
        <w:rPr>
          <w:color w:val="FF3333"/>
        </w:rPr>
        <w:t>FORCE</w:t>
      </w:r>
      <w:r w:rsidR="00136C03">
        <w:rPr>
          <w:color w:val="FF3333"/>
          <w:spacing w:val="-3"/>
        </w:rPr>
        <w:t xml:space="preserve"> </w:t>
      </w:r>
      <w:r w:rsidR="00136C03">
        <w:rPr>
          <w:color w:val="FF3333"/>
        </w:rPr>
        <w:t>MAJEURE</w:t>
      </w:r>
    </w:p>
    <w:p w14:paraId="5FD94E3F" w14:textId="77777777" w:rsidR="00136C03" w:rsidRDefault="00136C03" w:rsidP="006838C7">
      <w:pPr>
        <w:pStyle w:val="Corpsdetexte"/>
        <w:ind w:left="142" w:right="113"/>
        <w:jc w:val="both"/>
      </w:pPr>
      <w:r>
        <w:t>En aucun cas, les Parties ne pourront être tenues pour responsables des manquements ou retards dans l’exécution de leurs obligations dus à un cas de force majeure ou cas fortuit communément retenus par la jurisprudence des cours et tribunaux français. Les obligations des parties seront suspendues pendant toute la durée de la force majeure. Toutefois, si celle-ci devait se prolonger plus de deux (2) mois en jours ouvrés après son commencement, chacune des parties pourra résilier les commandes en le notifiant à l’autre par lettre recommandée avec accusé de</w:t>
      </w:r>
      <w:r>
        <w:rPr>
          <w:spacing w:val="-15"/>
        </w:rPr>
        <w:t xml:space="preserve"> </w:t>
      </w:r>
      <w:r>
        <w:t>réception.</w:t>
      </w:r>
    </w:p>
    <w:p w14:paraId="595B0C11" w14:textId="77777777" w:rsidR="006A42DC" w:rsidRDefault="006A42DC" w:rsidP="006838C7">
      <w:pPr>
        <w:pStyle w:val="Corpsdetexte"/>
        <w:spacing w:before="10"/>
        <w:ind w:left="142"/>
        <w:rPr>
          <w:sz w:val="13"/>
        </w:rPr>
      </w:pPr>
    </w:p>
    <w:p w14:paraId="23F32B6D" w14:textId="46CFAB5B" w:rsidR="00136C03" w:rsidRDefault="006A42DC" w:rsidP="006838C7">
      <w:pPr>
        <w:pStyle w:val="Titre2"/>
        <w:tabs>
          <w:tab w:val="left" w:pos="303"/>
        </w:tabs>
        <w:ind w:left="0" w:right="770" w:firstLine="0"/>
      </w:pPr>
      <w:r>
        <w:rPr>
          <w:color w:val="FF3333"/>
        </w:rPr>
        <w:t xml:space="preserve">15 - </w:t>
      </w:r>
      <w:r w:rsidR="00136C03">
        <w:rPr>
          <w:color w:val="FF3333"/>
        </w:rPr>
        <w:t>ATTRIBUTION DE JURIDICTION – LOI APPLICABLE</w:t>
      </w:r>
    </w:p>
    <w:p w14:paraId="42D5ADFE" w14:textId="77777777" w:rsidR="00136C03" w:rsidRDefault="00136C03" w:rsidP="006838C7">
      <w:pPr>
        <w:pStyle w:val="Corpsdetexte"/>
        <w:ind w:left="142" w:right="117"/>
        <w:jc w:val="both"/>
      </w:pPr>
      <w:r>
        <w:t xml:space="preserve">Les présentes CGV sont régies par le droit français. De convention expresse, les parties attribuent compétence exclusive au tribunal de commerce de Paris, en cas de contestation ou de litige relatifs à l’interprétation ou l’exécution des présentes CGV, même en cas d’appel en garantie ou de pluralité de défendeurs. </w:t>
      </w:r>
    </w:p>
    <w:p w14:paraId="16A2D150" w14:textId="77777777" w:rsidR="006A42DC" w:rsidRDefault="006A42DC" w:rsidP="006838C7">
      <w:pPr>
        <w:pStyle w:val="Corpsdetexte"/>
        <w:spacing w:before="10"/>
        <w:ind w:left="142"/>
        <w:rPr>
          <w:sz w:val="13"/>
        </w:rPr>
      </w:pPr>
    </w:p>
    <w:p w14:paraId="59933827" w14:textId="61041DEA" w:rsidR="00136C03" w:rsidRDefault="006A42DC" w:rsidP="006838C7">
      <w:pPr>
        <w:pStyle w:val="Titre2"/>
        <w:tabs>
          <w:tab w:val="left" w:pos="303"/>
        </w:tabs>
        <w:ind w:left="0" w:firstLine="0"/>
      </w:pPr>
      <w:r>
        <w:rPr>
          <w:color w:val="FF3333"/>
        </w:rPr>
        <w:t xml:space="preserve">16 - </w:t>
      </w:r>
      <w:r w:rsidR="00136C03">
        <w:rPr>
          <w:color w:val="FF3333"/>
        </w:rPr>
        <w:t xml:space="preserve">GARANTIE </w:t>
      </w:r>
    </w:p>
    <w:p w14:paraId="7FDE1BFC" w14:textId="77777777" w:rsidR="00136C03" w:rsidRDefault="00136C03" w:rsidP="006838C7">
      <w:pPr>
        <w:pStyle w:val="Corpsdetexte"/>
        <w:ind w:left="142" w:right="119"/>
        <w:jc w:val="both"/>
      </w:pPr>
      <w:r>
        <w:t>Mölnlycke s’engage à titre gracieux à réparer ou remplacer les Produits qui présentent des défauts pendant la période de garantie légale, si l’origine de ces défauts existait préalablement au transfert de propriété.</w:t>
      </w:r>
    </w:p>
    <w:p w14:paraId="72CCF060" w14:textId="34F8D177" w:rsidR="00886132" w:rsidRDefault="00886132" w:rsidP="001347EC">
      <w:pPr>
        <w:pStyle w:val="Corpsdetexte"/>
        <w:ind w:right="119"/>
        <w:jc w:val="both"/>
      </w:pPr>
    </w:p>
    <w:p w14:paraId="09CAF59B" w14:textId="1B6AD7B3" w:rsidR="001347EC" w:rsidRPr="002F448F" w:rsidRDefault="001347EC" w:rsidP="00332954">
      <w:pPr>
        <w:pStyle w:val="Titre2"/>
        <w:tabs>
          <w:tab w:val="left" w:pos="142"/>
          <w:tab w:val="left" w:pos="224"/>
          <w:tab w:val="left" w:pos="303"/>
        </w:tabs>
        <w:ind w:left="0" w:right="141" w:firstLine="0"/>
        <w:jc w:val="both"/>
        <w:rPr>
          <w:color w:val="FF0000"/>
        </w:rPr>
      </w:pPr>
      <w:r w:rsidRPr="002F448F">
        <w:rPr>
          <w:color w:val="FF0000"/>
        </w:rPr>
        <w:t>1</w:t>
      </w:r>
      <w:bookmarkStart w:id="0" w:name="_Hlk155190513"/>
      <w:r>
        <w:rPr>
          <w:color w:val="FF0000"/>
        </w:rPr>
        <w:t>7</w:t>
      </w:r>
      <w:r w:rsidRPr="002F448F">
        <w:rPr>
          <w:color w:val="FF0000"/>
        </w:rPr>
        <w:t xml:space="preserve"> - MODIFICATION DES PRESENTES CGV </w:t>
      </w:r>
    </w:p>
    <w:p w14:paraId="4A3CE93D" w14:textId="77777777" w:rsidR="001347EC" w:rsidRPr="002F448F" w:rsidRDefault="001347EC" w:rsidP="001347EC">
      <w:pPr>
        <w:pStyle w:val="Corpsdetexte"/>
        <w:tabs>
          <w:tab w:val="left" w:pos="142"/>
          <w:tab w:val="left" w:pos="224"/>
        </w:tabs>
        <w:ind w:left="142" w:right="141"/>
        <w:jc w:val="both"/>
      </w:pPr>
      <w:r w:rsidRPr="002F448F">
        <w:t xml:space="preserve">Les présentes CGV peuvent être modifiées à tout moment par Mölnlycke. Les CGV applicables au Client sont, sauf accord écrit des Parties, celles en vigueur au jour de sa commande ou de sa connexion sur le Site https://commande-molnlycke.fr, toute nouvelle connexion à l'espace personnel emportant acceptation le cas échéant des nouvelles CGV. </w:t>
      </w:r>
      <w:bookmarkEnd w:id="0"/>
    </w:p>
    <w:p w14:paraId="78C964DD" w14:textId="77777777" w:rsidR="001347EC" w:rsidRPr="00DB0D2E" w:rsidRDefault="001347EC" w:rsidP="00332954">
      <w:pPr>
        <w:pStyle w:val="Corpsdetexte"/>
        <w:ind w:right="119"/>
        <w:jc w:val="both"/>
      </w:pPr>
    </w:p>
    <w:sectPr w:rsidR="001347EC" w:rsidRPr="00DB0D2E" w:rsidSect="00C24F89">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DC951" w14:textId="77777777" w:rsidR="00314CAE" w:rsidRDefault="00314CAE" w:rsidP="00996055">
      <w:r>
        <w:separator/>
      </w:r>
    </w:p>
  </w:endnote>
  <w:endnote w:type="continuationSeparator" w:id="0">
    <w:p w14:paraId="13BA2F64" w14:textId="77777777" w:rsidR="00314CAE" w:rsidRDefault="00314CAE" w:rsidP="0099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55258"/>
      <w:docPartObj>
        <w:docPartGallery w:val="Page Numbers (Bottom of Page)"/>
        <w:docPartUnique/>
      </w:docPartObj>
    </w:sdtPr>
    <w:sdtEndPr/>
    <w:sdtContent>
      <w:p w14:paraId="3FD6928F" w14:textId="77777777" w:rsidR="00996055" w:rsidRDefault="00996055" w:rsidP="00996055">
        <w:pPr>
          <w:jc w:val="center"/>
          <w:rPr>
            <w:rFonts w:eastAsia="Arial Unicode MS" w:cstheme="minorBidi"/>
            <w:sz w:val="20"/>
            <w:lang w:val="en-US" w:eastAsia="zh-CN"/>
          </w:rPr>
        </w:pPr>
        <w:r>
          <w:rPr>
            <w:rFonts w:eastAsia="Arial Unicode MS"/>
            <w:sz w:val="20"/>
            <w:lang w:val="en-US"/>
          </w:rPr>
          <w:t xml:space="preserve">Mölnlycke Health Care SAS – </w:t>
        </w:r>
        <w:proofErr w:type="spellStart"/>
        <w:r>
          <w:rPr>
            <w:rFonts w:eastAsia="Arial Unicode MS"/>
            <w:sz w:val="20"/>
            <w:lang w:val="en-US"/>
          </w:rPr>
          <w:t>Laboratoire</w:t>
        </w:r>
        <w:proofErr w:type="spellEnd"/>
        <w:r>
          <w:rPr>
            <w:rFonts w:eastAsia="Arial Unicode MS"/>
            <w:sz w:val="20"/>
            <w:lang w:val="en-US"/>
          </w:rPr>
          <w:t xml:space="preserve"> Pharmaceutique</w:t>
        </w:r>
      </w:p>
      <w:p w14:paraId="25C14248" w14:textId="77777777" w:rsidR="00996055" w:rsidRDefault="00996055" w:rsidP="00996055">
        <w:pPr>
          <w:jc w:val="center"/>
          <w:rPr>
            <w:rFonts w:eastAsia="Arial Unicode MS"/>
            <w:sz w:val="20"/>
          </w:rPr>
        </w:pPr>
        <w:r>
          <w:rPr>
            <w:rFonts w:eastAsia="Arial Unicode MS"/>
            <w:sz w:val="20"/>
          </w:rPr>
          <w:t>SAS au capital de 10.600.000€ - N° TVA FR 323 83 197 472 – 383 197 472 RCS Lille</w:t>
        </w:r>
      </w:p>
      <w:p w14:paraId="505CC3E9" w14:textId="02187ED4" w:rsidR="00996055" w:rsidRDefault="00996055">
        <w:pPr>
          <w:pStyle w:val="Pieddepage"/>
          <w:jc w:val="right"/>
        </w:pPr>
        <w:r>
          <w:fldChar w:fldCharType="begin"/>
        </w:r>
        <w:r>
          <w:instrText>PAGE   \* MERGEFORMAT</w:instrText>
        </w:r>
        <w:r>
          <w:fldChar w:fldCharType="separate"/>
        </w:r>
        <w:r>
          <w:t>2</w:t>
        </w:r>
        <w:r>
          <w:fldChar w:fldCharType="end"/>
        </w:r>
      </w:p>
    </w:sdtContent>
  </w:sdt>
  <w:p w14:paraId="05A69381" w14:textId="77777777" w:rsidR="00996055" w:rsidRDefault="00996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107B" w14:textId="77777777" w:rsidR="00314CAE" w:rsidRDefault="00314CAE" w:rsidP="00996055">
      <w:r>
        <w:separator/>
      </w:r>
    </w:p>
  </w:footnote>
  <w:footnote w:type="continuationSeparator" w:id="0">
    <w:p w14:paraId="28CC291B" w14:textId="77777777" w:rsidR="00314CAE" w:rsidRDefault="00314CAE" w:rsidP="00996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5506" w14:textId="51B8561B" w:rsidR="00996055" w:rsidRDefault="00996055">
    <w:pPr>
      <w:pStyle w:val="En-tte"/>
    </w:pPr>
    <w:r>
      <w:rPr>
        <w:noProof/>
      </w:rPr>
      <w:drawing>
        <wp:anchor distT="0" distB="0" distL="0" distR="0" simplePos="0" relativeHeight="251659264" behindDoc="0" locked="0" layoutInCell="1" allowOverlap="1" wp14:anchorId="27CC1B2F" wp14:editId="7165EE68">
          <wp:simplePos x="0" y="0"/>
          <wp:positionH relativeFrom="page">
            <wp:posOffset>921835</wp:posOffset>
          </wp:positionH>
          <wp:positionV relativeFrom="paragraph">
            <wp:posOffset>-140192</wp:posOffset>
          </wp:positionV>
          <wp:extent cx="1221191" cy="5826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21191" cy="58262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D7C54"/>
    <w:multiLevelType w:val="hybridMultilevel"/>
    <w:tmpl w:val="451A4D46"/>
    <w:lvl w:ilvl="0" w:tplc="6E3C7E3C">
      <w:start w:val="11"/>
      <w:numFmt w:val="decimal"/>
      <w:lvlText w:val="%1"/>
      <w:lvlJc w:val="left"/>
      <w:pPr>
        <w:ind w:left="467" w:hanging="360"/>
      </w:pPr>
      <w:rPr>
        <w:rFonts w:hint="default"/>
        <w:color w:val="FF3333"/>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1" w15:restartNumberingAfterBreak="0">
    <w:nsid w:val="47FD083D"/>
    <w:multiLevelType w:val="hybridMultilevel"/>
    <w:tmpl w:val="2812C134"/>
    <w:lvl w:ilvl="0" w:tplc="74EE4032">
      <w:start w:val="12"/>
      <w:numFmt w:val="decimal"/>
      <w:lvlText w:val="%1"/>
      <w:lvlJc w:val="left"/>
      <w:pPr>
        <w:ind w:left="9433" w:hanging="360"/>
      </w:pPr>
      <w:rPr>
        <w:rFonts w:hint="default"/>
      </w:rPr>
    </w:lvl>
    <w:lvl w:ilvl="1" w:tplc="040C0019" w:tentative="1">
      <w:start w:val="1"/>
      <w:numFmt w:val="lowerLetter"/>
      <w:lvlText w:val="%2."/>
      <w:lvlJc w:val="left"/>
      <w:pPr>
        <w:ind w:left="10153" w:hanging="360"/>
      </w:pPr>
    </w:lvl>
    <w:lvl w:ilvl="2" w:tplc="040C001B" w:tentative="1">
      <w:start w:val="1"/>
      <w:numFmt w:val="lowerRoman"/>
      <w:lvlText w:val="%3."/>
      <w:lvlJc w:val="right"/>
      <w:pPr>
        <w:ind w:left="10873" w:hanging="180"/>
      </w:pPr>
    </w:lvl>
    <w:lvl w:ilvl="3" w:tplc="040C000F" w:tentative="1">
      <w:start w:val="1"/>
      <w:numFmt w:val="decimal"/>
      <w:lvlText w:val="%4."/>
      <w:lvlJc w:val="left"/>
      <w:pPr>
        <w:ind w:left="11593" w:hanging="360"/>
      </w:pPr>
    </w:lvl>
    <w:lvl w:ilvl="4" w:tplc="040C0019" w:tentative="1">
      <w:start w:val="1"/>
      <w:numFmt w:val="lowerLetter"/>
      <w:lvlText w:val="%5."/>
      <w:lvlJc w:val="left"/>
      <w:pPr>
        <w:ind w:left="12313" w:hanging="360"/>
      </w:pPr>
    </w:lvl>
    <w:lvl w:ilvl="5" w:tplc="040C001B" w:tentative="1">
      <w:start w:val="1"/>
      <w:numFmt w:val="lowerRoman"/>
      <w:lvlText w:val="%6."/>
      <w:lvlJc w:val="right"/>
      <w:pPr>
        <w:ind w:left="13033" w:hanging="180"/>
      </w:pPr>
    </w:lvl>
    <w:lvl w:ilvl="6" w:tplc="040C000F" w:tentative="1">
      <w:start w:val="1"/>
      <w:numFmt w:val="decimal"/>
      <w:lvlText w:val="%7."/>
      <w:lvlJc w:val="left"/>
      <w:pPr>
        <w:ind w:left="13753" w:hanging="360"/>
      </w:pPr>
    </w:lvl>
    <w:lvl w:ilvl="7" w:tplc="040C0019" w:tentative="1">
      <w:start w:val="1"/>
      <w:numFmt w:val="lowerLetter"/>
      <w:lvlText w:val="%8."/>
      <w:lvlJc w:val="left"/>
      <w:pPr>
        <w:ind w:left="14473" w:hanging="360"/>
      </w:pPr>
    </w:lvl>
    <w:lvl w:ilvl="8" w:tplc="040C001B" w:tentative="1">
      <w:start w:val="1"/>
      <w:numFmt w:val="lowerRoman"/>
      <w:lvlText w:val="%9."/>
      <w:lvlJc w:val="right"/>
      <w:pPr>
        <w:ind w:left="15193" w:hanging="180"/>
      </w:pPr>
    </w:lvl>
  </w:abstractNum>
  <w:abstractNum w:abstractNumId="2" w15:restartNumberingAfterBreak="0">
    <w:nsid w:val="48E52EF5"/>
    <w:multiLevelType w:val="hybridMultilevel"/>
    <w:tmpl w:val="E9784C3C"/>
    <w:lvl w:ilvl="0" w:tplc="16B45E38">
      <w:start w:val="2"/>
      <w:numFmt w:val="decimal"/>
      <w:lvlText w:val="%1"/>
      <w:lvlJc w:val="left"/>
      <w:pPr>
        <w:ind w:left="720" w:hanging="360"/>
      </w:pPr>
      <w:rPr>
        <w:rFonts w:hint="default"/>
        <w:color w:val="FF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2050F1"/>
    <w:multiLevelType w:val="hybridMultilevel"/>
    <w:tmpl w:val="2098BC44"/>
    <w:lvl w:ilvl="0" w:tplc="9FA04D5C">
      <w:start w:val="9"/>
      <w:numFmt w:val="decimal"/>
      <w:lvlText w:val="%1"/>
      <w:lvlJc w:val="left"/>
      <w:pPr>
        <w:ind w:left="502" w:hanging="360"/>
      </w:pPr>
      <w:rPr>
        <w:rFonts w:hint="default"/>
        <w:color w:val="FF3333"/>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6E033B1D"/>
    <w:multiLevelType w:val="hybridMultilevel"/>
    <w:tmpl w:val="1466CE90"/>
    <w:lvl w:ilvl="0" w:tplc="298EAB88">
      <w:start w:val="1"/>
      <w:numFmt w:val="decimal"/>
      <w:lvlText w:val="%1"/>
      <w:lvlJc w:val="left"/>
      <w:pPr>
        <w:ind w:left="223" w:hanging="116"/>
      </w:pPr>
      <w:rPr>
        <w:rFonts w:ascii="Arial" w:eastAsia="Arial" w:hAnsi="Arial" w:cs="Arial" w:hint="default"/>
        <w:b/>
        <w:bCs/>
        <w:color w:val="FF3333"/>
        <w:w w:val="99"/>
        <w:sz w:val="14"/>
        <w:szCs w:val="14"/>
        <w:lang w:val="fr-FR" w:eastAsia="en-US" w:bidi="ar-SA"/>
      </w:rPr>
    </w:lvl>
    <w:lvl w:ilvl="1" w:tplc="1E42113C">
      <w:numFmt w:val="bullet"/>
      <w:lvlText w:val="•"/>
      <w:lvlJc w:val="left"/>
      <w:pPr>
        <w:ind w:left="529" w:hanging="116"/>
      </w:pPr>
      <w:rPr>
        <w:rFonts w:hint="default"/>
        <w:lang w:val="fr-FR" w:eastAsia="en-US" w:bidi="ar-SA"/>
      </w:rPr>
    </w:lvl>
    <w:lvl w:ilvl="2" w:tplc="74C63FF4">
      <w:numFmt w:val="bullet"/>
      <w:lvlText w:val="•"/>
      <w:lvlJc w:val="left"/>
      <w:pPr>
        <w:ind w:left="839" w:hanging="116"/>
      </w:pPr>
      <w:rPr>
        <w:rFonts w:hint="default"/>
        <w:lang w:val="fr-FR" w:eastAsia="en-US" w:bidi="ar-SA"/>
      </w:rPr>
    </w:lvl>
    <w:lvl w:ilvl="3" w:tplc="C6B80802">
      <w:numFmt w:val="bullet"/>
      <w:lvlText w:val="•"/>
      <w:lvlJc w:val="left"/>
      <w:pPr>
        <w:ind w:left="1148" w:hanging="116"/>
      </w:pPr>
      <w:rPr>
        <w:rFonts w:hint="default"/>
        <w:lang w:val="fr-FR" w:eastAsia="en-US" w:bidi="ar-SA"/>
      </w:rPr>
    </w:lvl>
    <w:lvl w:ilvl="4" w:tplc="A9EEC370">
      <w:numFmt w:val="bullet"/>
      <w:lvlText w:val="•"/>
      <w:lvlJc w:val="left"/>
      <w:pPr>
        <w:ind w:left="1458" w:hanging="116"/>
      </w:pPr>
      <w:rPr>
        <w:rFonts w:hint="default"/>
        <w:lang w:val="fr-FR" w:eastAsia="en-US" w:bidi="ar-SA"/>
      </w:rPr>
    </w:lvl>
    <w:lvl w:ilvl="5" w:tplc="427E62E2">
      <w:numFmt w:val="bullet"/>
      <w:lvlText w:val="•"/>
      <w:lvlJc w:val="left"/>
      <w:pPr>
        <w:ind w:left="1767" w:hanging="116"/>
      </w:pPr>
      <w:rPr>
        <w:rFonts w:hint="default"/>
        <w:lang w:val="fr-FR" w:eastAsia="en-US" w:bidi="ar-SA"/>
      </w:rPr>
    </w:lvl>
    <w:lvl w:ilvl="6" w:tplc="D7C099DC">
      <w:numFmt w:val="bullet"/>
      <w:lvlText w:val="•"/>
      <w:lvlJc w:val="left"/>
      <w:pPr>
        <w:ind w:left="2077" w:hanging="116"/>
      </w:pPr>
      <w:rPr>
        <w:rFonts w:hint="default"/>
        <w:lang w:val="fr-FR" w:eastAsia="en-US" w:bidi="ar-SA"/>
      </w:rPr>
    </w:lvl>
    <w:lvl w:ilvl="7" w:tplc="022236BC">
      <w:numFmt w:val="bullet"/>
      <w:lvlText w:val="•"/>
      <w:lvlJc w:val="left"/>
      <w:pPr>
        <w:ind w:left="2386" w:hanging="116"/>
      </w:pPr>
      <w:rPr>
        <w:rFonts w:hint="default"/>
        <w:lang w:val="fr-FR" w:eastAsia="en-US" w:bidi="ar-SA"/>
      </w:rPr>
    </w:lvl>
    <w:lvl w:ilvl="8" w:tplc="2556DF8A">
      <w:numFmt w:val="bullet"/>
      <w:lvlText w:val="•"/>
      <w:lvlJc w:val="left"/>
      <w:pPr>
        <w:ind w:left="2696" w:hanging="116"/>
      </w:pPr>
      <w:rPr>
        <w:rFonts w:hint="default"/>
        <w:lang w:val="fr-FR" w:eastAsia="en-US" w:bidi="ar-SA"/>
      </w:rPr>
    </w:lvl>
  </w:abstractNum>
  <w:num w:numId="1" w16cid:durableId="1492868005">
    <w:abstractNumId w:val="4"/>
  </w:num>
  <w:num w:numId="2" w16cid:durableId="223495390">
    <w:abstractNumId w:val="1"/>
  </w:num>
  <w:num w:numId="3" w16cid:durableId="335691359">
    <w:abstractNumId w:val="0"/>
  </w:num>
  <w:num w:numId="4" w16cid:durableId="1531068995">
    <w:abstractNumId w:val="3"/>
  </w:num>
  <w:num w:numId="5" w16cid:durableId="1577125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55"/>
    <w:rsid w:val="001347EC"/>
    <w:rsid w:val="00136C03"/>
    <w:rsid w:val="001626CC"/>
    <w:rsid w:val="00167D2E"/>
    <w:rsid w:val="0023157C"/>
    <w:rsid w:val="00314CAE"/>
    <w:rsid w:val="00332954"/>
    <w:rsid w:val="003C02BE"/>
    <w:rsid w:val="005E1E63"/>
    <w:rsid w:val="00605A34"/>
    <w:rsid w:val="006838C7"/>
    <w:rsid w:val="006A42DC"/>
    <w:rsid w:val="006A5B37"/>
    <w:rsid w:val="006F54E4"/>
    <w:rsid w:val="00886132"/>
    <w:rsid w:val="008E46D2"/>
    <w:rsid w:val="00996055"/>
    <w:rsid w:val="00997C2C"/>
    <w:rsid w:val="009D740B"/>
    <w:rsid w:val="00B24257"/>
    <w:rsid w:val="00B829BB"/>
    <w:rsid w:val="00BD6291"/>
    <w:rsid w:val="00C24F89"/>
    <w:rsid w:val="00C40A5C"/>
    <w:rsid w:val="00C968AD"/>
    <w:rsid w:val="00D82B38"/>
    <w:rsid w:val="00DA544A"/>
    <w:rsid w:val="00DB0D2E"/>
    <w:rsid w:val="00FE060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7C18"/>
  <w15:chartTrackingRefBased/>
  <w15:docId w15:val="{4D602350-2DC4-4BB3-B40E-E293394D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55"/>
    <w:pPr>
      <w:widowControl w:val="0"/>
      <w:autoSpaceDE w:val="0"/>
      <w:autoSpaceDN w:val="0"/>
      <w:spacing w:after="0" w:line="240" w:lineRule="auto"/>
    </w:pPr>
    <w:rPr>
      <w:rFonts w:ascii="Arial" w:eastAsia="Arial" w:hAnsi="Arial" w:cs="Arial"/>
      <w:lang w:eastAsia="en-US"/>
    </w:rPr>
  </w:style>
  <w:style w:type="paragraph" w:styleId="Titre2">
    <w:name w:val="heading 2"/>
    <w:basedOn w:val="Normal"/>
    <w:link w:val="Titre2Car"/>
    <w:uiPriority w:val="9"/>
    <w:unhideWhenUsed/>
    <w:qFormat/>
    <w:rsid w:val="00996055"/>
    <w:pPr>
      <w:ind w:left="223" w:hanging="116"/>
      <w:outlineLvl w:val="1"/>
    </w:pPr>
    <w:rPr>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96055"/>
    <w:rPr>
      <w:rFonts w:ascii="Arial" w:eastAsia="Arial" w:hAnsi="Arial" w:cs="Arial"/>
      <w:b/>
      <w:bCs/>
      <w:sz w:val="14"/>
      <w:szCs w:val="14"/>
      <w:lang w:eastAsia="en-US"/>
    </w:rPr>
  </w:style>
  <w:style w:type="paragraph" w:styleId="Corpsdetexte">
    <w:name w:val="Body Text"/>
    <w:basedOn w:val="Normal"/>
    <w:link w:val="CorpsdetexteCar"/>
    <w:uiPriority w:val="1"/>
    <w:qFormat/>
    <w:rsid w:val="00996055"/>
    <w:pPr>
      <w:spacing w:before="2"/>
    </w:pPr>
    <w:rPr>
      <w:sz w:val="14"/>
      <w:szCs w:val="14"/>
    </w:rPr>
  </w:style>
  <w:style w:type="character" w:customStyle="1" w:styleId="CorpsdetexteCar">
    <w:name w:val="Corps de texte Car"/>
    <w:basedOn w:val="Policepardfaut"/>
    <w:link w:val="Corpsdetexte"/>
    <w:uiPriority w:val="1"/>
    <w:rsid w:val="00996055"/>
    <w:rPr>
      <w:rFonts w:ascii="Arial" w:eastAsia="Arial" w:hAnsi="Arial" w:cs="Arial"/>
      <w:sz w:val="14"/>
      <w:szCs w:val="14"/>
      <w:lang w:eastAsia="en-US"/>
    </w:rPr>
  </w:style>
  <w:style w:type="paragraph" w:styleId="Titre">
    <w:name w:val="Title"/>
    <w:basedOn w:val="Normal"/>
    <w:link w:val="TitreCar"/>
    <w:uiPriority w:val="10"/>
    <w:qFormat/>
    <w:rsid w:val="00996055"/>
    <w:pPr>
      <w:spacing w:before="40"/>
      <w:ind w:left="587" w:right="777"/>
      <w:jc w:val="center"/>
    </w:pPr>
    <w:rPr>
      <w:sz w:val="32"/>
      <w:szCs w:val="32"/>
    </w:rPr>
  </w:style>
  <w:style w:type="character" w:customStyle="1" w:styleId="TitreCar">
    <w:name w:val="Titre Car"/>
    <w:basedOn w:val="Policepardfaut"/>
    <w:link w:val="Titre"/>
    <w:uiPriority w:val="10"/>
    <w:rsid w:val="00996055"/>
    <w:rPr>
      <w:rFonts w:ascii="Arial" w:eastAsia="Arial" w:hAnsi="Arial" w:cs="Arial"/>
      <w:sz w:val="32"/>
      <w:szCs w:val="32"/>
      <w:lang w:eastAsia="en-US"/>
    </w:rPr>
  </w:style>
  <w:style w:type="paragraph" w:customStyle="1" w:styleId="Default">
    <w:name w:val="Default"/>
    <w:rsid w:val="0099605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En-tte">
    <w:name w:val="header"/>
    <w:basedOn w:val="Normal"/>
    <w:link w:val="En-tteCar"/>
    <w:uiPriority w:val="99"/>
    <w:unhideWhenUsed/>
    <w:rsid w:val="00996055"/>
    <w:pPr>
      <w:tabs>
        <w:tab w:val="center" w:pos="4536"/>
        <w:tab w:val="right" w:pos="9072"/>
      </w:tabs>
    </w:pPr>
  </w:style>
  <w:style w:type="character" w:customStyle="1" w:styleId="En-tteCar">
    <w:name w:val="En-tête Car"/>
    <w:basedOn w:val="Policepardfaut"/>
    <w:link w:val="En-tte"/>
    <w:uiPriority w:val="99"/>
    <w:rsid w:val="00996055"/>
    <w:rPr>
      <w:rFonts w:ascii="Arial" w:eastAsia="Arial" w:hAnsi="Arial" w:cs="Arial"/>
      <w:lang w:eastAsia="en-US"/>
    </w:rPr>
  </w:style>
  <w:style w:type="paragraph" w:styleId="Pieddepage">
    <w:name w:val="footer"/>
    <w:basedOn w:val="Normal"/>
    <w:link w:val="PieddepageCar"/>
    <w:uiPriority w:val="99"/>
    <w:unhideWhenUsed/>
    <w:rsid w:val="00996055"/>
    <w:pPr>
      <w:tabs>
        <w:tab w:val="center" w:pos="4536"/>
        <w:tab w:val="right" w:pos="9072"/>
      </w:tabs>
    </w:pPr>
  </w:style>
  <w:style w:type="character" w:customStyle="1" w:styleId="PieddepageCar">
    <w:name w:val="Pied de page Car"/>
    <w:basedOn w:val="Policepardfaut"/>
    <w:link w:val="Pieddepage"/>
    <w:uiPriority w:val="99"/>
    <w:rsid w:val="00996055"/>
    <w:rPr>
      <w:rFonts w:ascii="Arial" w:eastAsia="Arial" w:hAnsi="Arial" w:cs="Arial"/>
      <w:lang w:eastAsia="en-US"/>
    </w:rPr>
  </w:style>
  <w:style w:type="paragraph" w:styleId="Rvision">
    <w:name w:val="Revision"/>
    <w:hidden/>
    <w:uiPriority w:val="99"/>
    <w:semiHidden/>
    <w:rsid w:val="00D82B38"/>
    <w:pPr>
      <w:spacing w:after="0" w:line="240" w:lineRule="auto"/>
    </w:pPr>
    <w:rPr>
      <w:rFonts w:ascii="Arial" w:eastAsia="Arial" w:hAnsi="Arial" w:cs="Arial"/>
      <w:lang w:eastAsia="en-US"/>
    </w:rPr>
  </w:style>
  <w:style w:type="character" w:styleId="Marquedecommentaire">
    <w:name w:val="annotation reference"/>
    <w:basedOn w:val="Policepardfaut"/>
    <w:uiPriority w:val="99"/>
    <w:semiHidden/>
    <w:unhideWhenUsed/>
    <w:rsid w:val="00D82B38"/>
    <w:rPr>
      <w:sz w:val="16"/>
      <w:szCs w:val="16"/>
    </w:rPr>
  </w:style>
  <w:style w:type="paragraph" w:styleId="Commentaire">
    <w:name w:val="annotation text"/>
    <w:basedOn w:val="Normal"/>
    <w:link w:val="CommentaireCar"/>
    <w:uiPriority w:val="99"/>
    <w:unhideWhenUsed/>
    <w:rsid w:val="00D82B38"/>
    <w:rPr>
      <w:sz w:val="20"/>
      <w:szCs w:val="20"/>
    </w:rPr>
  </w:style>
  <w:style w:type="character" w:customStyle="1" w:styleId="CommentaireCar">
    <w:name w:val="Commentaire Car"/>
    <w:basedOn w:val="Policepardfaut"/>
    <w:link w:val="Commentaire"/>
    <w:uiPriority w:val="99"/>
    <w:rsid w:val="00D82B38"/>
    <w:rPr>
      <w:rFonts w:ascii="Arial" w:eastAsia="Arial" w:hAnsi="Arial" w:cs="Arial"/>
      <w:sz w:val="20"/>
      <w:szCs w:val="20"/>
      <w:lang w:eastAsia="en-US"/>
    </w:rPr>
  </w:style>
  <w:style w:type="paragraph" w:styleId="Objetducommentaire">
    <w:name w:val="annotation subject"/>
    <w:basedOn w:val="Commentaire"/>
    <w:next w:val="Commentaire"/>
    <w:link w:val="ObjetducommentaireCar"/>
    <w:uiPriority w:val="99"/>
    <w:semiHidden/>
    <w:unhideWhenUsed/>
    <w:rsid w:val="00D82B38"/>
    <w:rPr>
      <w:b/>
      <w:bCs/>
    </w:rPr>
  </w:style>
  <w:style w:type="character" w:customStyle="1" w:styleId="ObjetducommentaireCar">
    <w:name w:val="Objet du commentaire Car"/>
    <w:basedOn w:val="CommentaireCar"/>
    <w:link w:val="Objetducommentaire"/>
    <w:uiPriority w:val="99"/>
    <w:semiHidden/>
    <w:rsid w:val="00D82B38"/>
    <w:rPr>
      <w:rFonts w:ascii="Arial" w:eastAsia="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564760">
      <w:bodyDiv w:val="1"/>
      <w:marLeft w:val="0"/>
      <w:marRight w:val="0"/>
      <w:marTop w:val="0"/>
      <w:marBottom w:val="0"/>
      <w:divBdr>
        <w:top w:val="none" w:sz="0" w:space="0" w:color="auto"/>
        <w:left w:val="none" w:sz="0" w:space="0" w:color="auto"/>
        <w:bottom w:val="none" w:sz="0" w:space="0" w:color="auto"/>
        <w:right w:val="none" w:sz="0" w:space="0" w:color="auto"/>
      </w:divBdr>
    </w:div>
    <w:div w:id="1891961527">
      <w:bodyDiv w:val="1"/>
      <w:marLeft w:val="0"/>
      <w:marRight w:val="0"/>
      <w:marTop w:val="0"/>
      <w:marBottom w:val="0"/>
      <w:divBdr>
        <w:top w:val="none" w:sz="0" w:space="0" w:color="auto"/>
        <w:left w:val="none" w:sz="0" w:space="0" w:color="auto"/>
        <w:bottom w:val="none" w:sz="0" w:space="0" w:color="auto"/>
        <w:right w:val="none" w:sz="0" w:space="0" w:color="auto"/>
      </w:divBdr>
    </w:div>
    <w:div w:id="203472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2134</Words>
  <Characters>11741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Jean-Sébastien Dhaeyer</dc:creator>
  <cp:keywords/>
  <dc:description/>
  <cp:lastModifiedBy>Morgan Bourgeois</cp:lastModifiedBy>
  <cp:revision>11</cp:revision>
  <cp:lastPrinted>2024-12-20T14:10:00Z</cp:lastPrinted>
  <dcterms:created xsi:type="dcterms:W3CDTF">2024-10-10T08:28:00Z</dcterms:created>
  <dcterms:modified xsi:type="dcterms:W3CDTF">2024-12-20T14:50:00Z</dcterms:modified>
</cp:coreProperties>
</file>